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130"/>
        </w:tabs>
        <w:ind w:firstLine="480"/>
        <w:jc w:val="left"/>
        <w:rPr>
          <w:rFonts w:hint="eastAsia" w:eastAsia="黑体"/>
          <w:color w:val="000000"/>
          <w:bdr w:val="single" w:color="auto" w:sz="4" w:space="0"/>
          <w:lang w:val="en-US" w:eastAsia="zh-CN"/>
        </w:rPr>
      </w:pPr>
      <w:bookmarkStart w:id="0" w:name="_Hlk46722415"/>
      <w:bookmarkEnd w:id="0"/>
    </w:p>
    <w:p>
      <w:pPr>
        <w:widowControl/>
        <w:spacing w:line="240" w:lineRule="auto"/>
        <w:ind w:firstLine="0" w:firstLineChars="0"/>
        <w:jc w:val="left"/>
        <w:rPr>
          <w:snapToGrid/>
          <w:color w:val="000000"/>
          <w:sz w:val="20"/>
        </w:rPr>
      </w:pPr>
    </w:p>
    <w:p>
      <w:pPr>
        <w:widowControl/>
        <w:spacing w:line="240" w:lineRule="auto"/>
        <w:ind w:firstLine="0" w:firstLineChars="0"/>
        <w:jc w:val="center"/>
        <w:rPr>
          <w:snapToGrid/>
          <w:color w:val="000000"/>
          <w:sz w:val="20"/>
        </w:rPr>
      </w:pPr>
    </w:p>
    <w:p>
      <w:pPr>
        <w:widowControl/>
        <w:adjustRightInd/>
        <w:snapToGrid/>
        <w:spacing w:line="240" w:lineRule="auto"/>
        <w:ind w:firstLine="0" w:firstLineChars="0"/>
        <w:jc w:val="left"/>
        <w:rPr>
          <w:rFonts w:hint="eastAsia"/>
          <w:color w:val="000000"/>
        </w:rPr>
      </w:pPr>
    </w:p>
    <w:p>
      <w:pPr>
        <w:ind w:left="1" w:firstLine="0" w:firstLineChars="0"/>
        <w:jc w:val="center"/>
        <w:rPr>
          <w:rFonts w:eastAsia="楷体"/>
          <w:b/>
          <w:bCs/>
          <w:color w:val="000000"/>
          <w:spacing w:val="-20"/>
          <w:w w:val="85"/>
          <w:sz w:val="72"/>
          <w:szCs w:val="72"/>
        </w:rPr>
      </w:pPr>
      <w:r>
        <w:rPr>
          <w:rFonts w:eastAsia="楷体"/>
          <w:b/>
          <w:bCs/>
          <w:color w:val="000000"/>
          <w:spacing w:val="-20"/>
          <w:w w:val="85"/>
          <w:sz w:val="72"/>
          <w:szCs w:val="72"/>
        </w:rPr>
        <w:t>镇赉县高标准农田建设规划</w:t>
      </w:r>
    </w:p>
    <w:p>
      <w:pPr>
        <w:ind w:left="1" w:firstLine="0" w:firstLineChars="0"/>
        <w:jc w:val="center"/>
        <w:rPr>
          <w:rFonts w:hint="eastAsia" w:eastAsia="楷体"/>
          <w:b/>
          <w:bCs/>
          <w:color w:val="000000"/>
          <w:spacing w:val="-20"/>
          <w:w w:val="85"/>
          <w:sz w:val="44"/>
          <w:szCs w:val="44"/>
        </w:rPr>
      </w:pPr>
      <w:r>
        <w:rPr>
          <w:rFonts w:hint="eastAsia" w:eastAsia="楷体"/>
          <w:b/>
          <w:bCs/>
          <w:color w:val="000000"/>
          <w:spacing w:val="-20"/>
          <w:w w:val="85"/>
          <w:sz w:val="44"/>
          <w:szCs w:val="44"/>
        </w:rPr>
        <w:t>（</w:t>
      </w:r>
      <w:r>
        <w:rPr>
          <w:rFonts w:eastAsia="楷体"/>
          <w:b/>
          <w:bCs/>
          <w:color w:val="000000"/>
          <w:spacing w:val="-20"/>
          <w:w w:val="85"/>
          <w:sz w:val="44"/>
          <w:szCs w:val="44"/>
        </w:rPr>
        <w:t>2021年-2030年</w:t>
      </w:r>
      <w:r>
        <w:rPr>
          <w:rFonts w:hint="eastAsia" w:eastAsia="楷体"/>
          <w:b/>
          <w:bCs/>
          <w:color w:val="000000"/>
          <w:spacing w:val="-20"/>
          <w:w w:val="85"/>
          <w:sz w:val="44"/>
          <w:szCs w:val="44"/>
        </w:rPr>
        <w:t>）</w:t>
      </w:r>
    </w:p>
    <w:p>
      <w:pPr>
        <w:ind w:left="1" w:firstLine="0" w:firstLineChars="0"/>
        <w:jc w:val="center"/>
        <w:rPr>
          <w:rFonts w:hint="eastAsia" w:eastAsia="楷体"/>
          <w:b/>
          <w:bCs/>
          <w:color w:val="000000"/>
          <w:spacing w:val="-20"/>
          <w:w w:val="85"/>
          <w:sz w:val="44"/>
          <w:szCs w:val="44"/>
          <w:lang w:eastAsia="zh-CN"/>
        </w:rPr>
      </w:pPr>
      <w:r>
        <w:rPr>
          <w:rFonts w:hint="eastAsia" w:eastAsia="楷体"/>
          <w:b/>
          <w:bCs/>
          <w:color w:val="000000"/>
          <w:spacing w:val="-20"/>
          <w:w w:val="85"/>
          <w:sz w:val="44"/>
          <w:szCs w:val="44"/>
          <w:lang w:eastAsia="zh-CN"/>
        </w:rPr>
        <w:t>（</w:t>
      </w:r>
      <w:r>
        <w:rPr>
          <w:rFonts w:hint="eastAsia" w:eastAsia="楷体"/>
          <w:b/>
          <w:bCs/>
          <w:color w:val="000000"/>
          <w:spacing w:val="-20"/>
          <w:w w:val="85"/>
          <w:sz w:val="44"/>
          <w:szCs w:val="44"/>
          <w:lang w:val="en-US" w:eastAsia="zh-CN"/>
        </w:rPr>
        <w:t>征求意见稿</w:t>
      </w:r>
      <w:r>
        <w:rPr>
          <w:rFonts w:hint="eastAsia" w:eastAsia="楷体"/>
          <w:b/>
          <w:bCs/>
          <w:color w:val="000000"/>
          <w:spacing w:val="-20"/>
          <w:w w:val="85"/>
          <w:sz w:val="44"/>
          <w:szCs w:val="44"/>
          <w:lang w:eastAsia="zh-CN"/>
        </w:rPr>
        <w:t>）</w:t>
      </w:r>
    </w:p>
    <w:p>
      <w:pPr>
        <w:ind w:firstLine="0" w:firstLineChars="0"/>
        <w:jc w:val="center"/>
        <w:rPr>
          <w:rFonts w:eastAsia="等线 Light"/>
          <w:b/>
          <w:color w:val="000000"/>
          <w:sz w:val="32"/>
          <w:szCs w:val="32"/>
        </w:rPr>
      </w:pPr>
    </w:p>
    <w:p>
      <w:pPr>
        <w:ind w:firstLine="0" w:firstLineChars="0"/>
        <w:jc w:val="center"/>
        <w:rPr>
          <w:rFonts w:eastAsia="等线 Light"/>
          <w:b/>
          <w:color w:val="000000"/>
          <w:sz w:val="32"/>
          <w:szCs w:val="32"/>
        </w:rPr>
      </w:pPr>
    </w:p>
    <w:p>
      <w:pPr>
        <w:ind w:firstLine="562"/>
        <w:jc w:val="center"/>
        <w:rPr>
          <w:b/>
          <w:color w:val="000000"/>
          <w:sz w:val="28"/>
          <w:szCs w:val="28"/>
        </w:rPr>
      </w:pPr>
    </w:p>
    <w:p>
      <w:pPr>
        <w:ind w:firstLine="562"/>
        <w:jc w:val="center"/>
        <w:rPr>
          <w:b/>
          <w:color w:val="000000"/>
          <w:sz w:val="28"/>
          <w:szCs w:val="28"/>
        </w:rPr>
      </w:pPr>
    </w:p>
    <w:p>
      <w:pPr>
        <w:ind w:firstLine="562"/>
        <w:jc w:val="center"/>
        <w:rPr>
          <w:b/>
          <w:color w:val="000000"/>
          <w:sz w:val="28"/>
          <w:szCs w:val="28"/>
        </w:rPr>
      </w:pPr>
    </w:p>
    <w:p>
      <w:pPr>
        <w:ind w:firstLine="562"/>
        <w:jc w:val="center"/>
        <w:rPr>
          <w:b/>
          <w:color w:val="000000"/>
          <w:sz w:val="28"/>
          <w:szCs w:val="28"/>
        </w:rPr>
      </w:pPr>
    </w:p>
    <w:p>
      <w:pPr>
        <w:ind w:firstLine="562"/>
        <w:jc w:val="center"/>
        <w:rPr>
          <w:b/>
          <w:color w:val="000000"/>
          <w:sz w:val="28"/>
          <w:szCs w:val="28"/>
        </w:rPr>
      </w:pPr>
    </w:p>
    <w:p>
      <w:pPr>
        <w:ind w:firstLine="562"/>
        <w:jc w:val="center"/>
        <w:rPr>
          <w:b/>
          <w:color w:val="000000"/>
          <w:sz w:val="28"/>
          <w:szCs w:val="28"/>
        </w:rPr>
      </w:pPr>
    </w:p>
    <w:p>
      <w:pPr>
        <w:widowControl/>
        <w:ind w:firstLine="0" w:firstLineChars="0"/>
        <w:jc w:val="center"/>
        <w:rPr>
          <w:color w:val="000000"/>
        </w:rPr>
      </w:pPr>
    </w:p>
    <w:p>
      <w:pPr>
        <w:widowControl/>
        <w:ind w:firstLine="0" w:firstLineChars="0"/>
        <w:jc w:val="center"/>
        <w:rPr>
          <w:b/>
          <w:color w:val="000000"/>
          <w:sz w:val="28"/>
          <w:szCs w:val="28"/>
        </w:rPr>
      </w:pPr>
    </w:p>
    <w:p>
      <w:pPr>
        <w:widowControl/>
        <w:ind w:firstLine="0" w:firstLineChars="0"/>
        <w:jc w:val="center"/>
        <w:rPr>
          <w:b/>
          <w:color w:val="000000"/>
          <w:sz w:val="28"/>
          <w:szCs w:val="28"/>
        </w:rPr>
      </w:pPr>
    </w:p>
    <w:p>
      <w:pPr>
        <w:widowControl/>
        <w:ind w:firstLine="0" w:firstLineChars="0"/>
        <w:jc w:val="center"/>
        <w:rPr>
          <w:b/>
          <w:color w:val="000000"/>
          <w:sz w:val="28"/>
          <w:szCs w:val="28"/>
        </w:rPr>
      </w:pPr>
    </w:p>
    <w:p>
      <w:pPr>
        <w:widowControl/>
        <w:ind w:firstLine="0" w:firstLineChars="0"/>
        <w:jc w:val="center"/>
        <w:rPr>
          <w:b/>
          <w:color w:val="000000"/>
          <w:sz w:val="28"/>
          <w:szCs w:val="28"/>
        </w:rPr>
      </w:pPr>
    </w:p>
    <w:p>
      <w:pPr>
        <w:widowControl/>
        <w:ind w:firstLine="0" w:firstLineChars="0"/>
        <w:jc w:val="center"/>
        <w:rPr>
          <w:rFonts w:hint="eastAsia"/>
          <w:b/>
          <w:color w:val="000000"/>
          <w:sz w:val="28"/>
          <w:szCs w:val="28"/>
        </w:rPr>
      </w:pPr>
    </w:p>
    <w:p>
      <w:pPr>
        <w:widowControl/>
        <w:ind w:firstLine="0" w:firstLineChars="0"/>
        <w:jc w:val="center"/>
        <w:rPr>
          <w:b/>
          <w:color w:val="000000"/>
          <w:sz w:val="28"/>
          <w:szCs w:val="28"/>
        </w:rPr>
      </w:pPr>
    </w:p>
    <w:p>
      <w:pPr>
        <w:ind w:firstLine="0" w:firstLineChars="0"/>
        <w:jc w:val="center"/>
        <w:rPr>
          <w:rFonts w:eastAsia="华文楷体"/>
          <w:b/>
          <w:color w:val="000000"/>
          <w:sz w:val="32"/>
          <w:szCs w:val="32"/>
        </w:rPr>
      </w:pPr>
      <w:r>
        <w:rPr>
          <w:rFonts w:eastAsia="楷体"/>
          <w:b/>
          <w:color w:val="000000"/>
          <w:sz w:val="32"/>
          <w:szCs w:val="32"/>
        </w:rPr>
        <w:t>二〇二</w:t>
      </w:r>
      <w:r>
        <w:rPr>
          <w:rFonts w:hint="eastAsia" w:eastAsia="楷体"/>
          <w:b/>
          <w:color w:val="000000"/>
          <w:sz w:val="32"/>
          <w:szCs w:val="32"/>
        </w:rPr>
        <w:t>二</w:t>
      </w:r>
      <w:r>
        <w:rPr>
          <w:rFonts w:eastAsia="楷体"/>
          <w:b/>
          <w:color w:val="000000"/>
          <w:sz w:val="32"/>
          <w:szCs w:val="32"/>
        </w:rPr>
        <w:t>年</w:t>
      </w:r>
      <w:r>
        <w:rPr>
          <w:rFonts w:hint="eastAsia" w:eastAsia="楷体"/>
          <w:b/>
          <w:color w:val="000000"/>
          <w:sz w:val="32"/>
          <w:szCs w:val="32"/>
        </w:rPr>
        <w:t>十</w:t>
      </w:r>
      <w:r>
        <w:rPr>
          <w:rFonts w:hint="eastAsia" w:eastAsia="楷体"/>
          <w:b/>
          <w:color w:val="000000"/>
          <w:sz w:val="32"/>
          <w:szCs w:val="32"/>
          <w:lang w:val="en-US" w:eastAsia="zh-CN"/>
        </w:rPr>
        <w:t>二月</w:t>
      </w:r>
    </w:p>
    <w:p>
      <w:pPr>
        <w:ind w:firstLine="0" w:firstLineChars="0"/>
        <w:jc w:val="center"/>
        <w:rPr>
          <w:rFonts w:eastAsia="华文楷体"/>
          <w:b/>
          <w:color w:val="000000"/>
          <w:sz w:val="32"/>
          <w:szCs w:val="32"/>
        </w:rPr>
      </w:pPr>
    </w:p>
    <w:p>
      <w:pPr>
        <w:ind w:firstLine="0" w:firstLineChars="0"/>
        <w:jc w:val="center"/>
        <w:rPr>
          <w:rFonts w:eastAsia="华文楷体"/>
          <w:b/>
          <w:color w:val="000000"/>
          <w:sz w:val="32"/>
          <w:szCs w:val="32"/>
        </w:rPr>
      </w:pPr>
    </w:p>
    <w:p>
      <w:pPr>
        <w:ind w:firstLine="0" w:firstLineChars="0"/>
        <w:jc w:val="center"/>
        <w:rPr>
          <w:rFonts w:eastAsia="华文楷体"/>
          <w:b/>
          <w:color w:val="000000"/>
          <w:sz w:val="32"/>
          <w:szCs w:val="32"/>
        </w:rPr>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pPr>
    </w:p>
    <w:p>
      <w:pPr>
        <w:pStyle w:val="7"/>
        <w:ind w:firstLine="0" w:firstLineChars="0"/>
        <w:jc w:val="center"/>
        <w:rPr>
          <w:rFonts w:hint="eastAsia"/>
          <w:b/>
          <w:bCs/>
          <w:color w:val="000000"/>
          <w:sz w:val="44"/>
          <w:szCs w:val="44"/>
          <w:lang w:val="zh-CN"/>
        </w:rPr>
      </w:pPr>
      <w:bookmarkStart w:id="1" w:name="_Hlk97712582"/>
      <w:r>
        <w:rPr>
          <w:b/>
          <w:bCs/>
          <w:color w:val="000000"/>
          <w:sz w:val="44"/>
          <w:szCs w:val="44"/>
          <w:lang w:val="zh-CN"/>
        </w:rPr>
        <w:t>目</w:t>
      </w:r>
      <w:r>
        <w:rPr>
          <w:rFonts w:hint="eastAsia"/>
          <w:b/>
          <w:bCs/>
          <w:color w:val="000000"/>
          <w:sz w:val="44"/>
          <w:szCs w:val="44"/>
          <w:lang w:val="zh-CN"/>
        </w:rPr>
        <w:t xml:space="preserve"> </w:t>
      </w:r>
      <w:r>
        <w:rPr>
          <w:b/>
          <w:bCs/>
          <w:color w:val="000000"/>
          <w:sz w:val="44"/>
          <w:szCs w:val="44"/>
          <w:lang w:val="zh-CN"/>
        </w:rPr>
        <w:t xml:space="preserve">  录</w:t>
      </w:r>
    </w:p>
    <w:p>
      <w:pPr>
        <w:pStyle w:val="8"/>
        <w:ind w:firstLine="640"/>
        <w:rPr>
          <w:rFonts w:ascii="等线" w:hAnsi="等线" w:eastAsia="等线" w:cs="Times New Roman"/>
          <w:b w:val="0"/>
          <w:bCs w:val="0"/>
          <w:snapToGrid/>
          <w:kern w:val="2"/>
          <w:sz w:val="21"/>
          <w:szCs w:val="22"/>
        </w:rPr>
      </w:pPr>
      <w:r>
        <w:rPr>
          <w:b w:val="0"/>
          <w:bCs w:val="0"/>
          <w:color w:val="000000"/>
        </w:rPr>
        <w:fldChar w:fldCharType="begin"/>
      </w:r>
      <w:r>
        <w:rPr>
          <w:b w:val="0"/>
          <w:bCs w:val="0"/>
          <w:color w:val="000000"/>
        </w:rPr>
        <w:instrText xml:space="preserve"> TOC \o "1-2" \h \z \u </w:instrText>
      </w:r>
      <w:r>
        <w:rPr>
          <w:b w:val="0"/>
          <w:bCs w:val="0"/>
          <w:color w:val="000000"/>
        </w:rPr>
        <w:fldChar w:fldCharType="separate"/>
      </w:r>
      <w:r>
        <w:rPr>
          <w:rStyle w:val="13"/>
        </w:rPr>
        <w:fldChar w:fldCharType="begin"/>
      </w:r>
      <w:r>
        <w:rPr>
          <w:rStyle w:val="13"/>
        </w:rPr>
        <w:instrText xml:space="preserve"> </w:instrText>
      </w:r>
      <w:r>
        <w:instrText xml:space="preserve">HYPERLINK \l "_Toc119750166"</w:instrText>
      </w:r>
      <w:r>
        <w:rPr>
          <w:rStyle w:val="13"/>
        </w:rPr>
        <w:instrText xml:space="preserve"> </w:instrText>
      </w:r>
      <w:r>
        <w:rPr>
          <w:rStyle w:val="13"/>
        </w:rPr>
        <w:fldChar w:fldCharType="separate"/>
      </w:r>
      <w:r>
        <w:rPr>
          <w:rStyle w:val="13"/>
        </w:rPr>
        <w:t>1镇赉县农业基本情况</w:t>
      </w:r>
      <w:r>
        <w:tab/>
      </w:r>
      <w:r>
        <w:fldChar w:fldCharType="begin"/>
      </w:r>
      <w:r>
        <w:instrText xml:space="preserve"> PAGEREF _Toc119750166 \h </w:instrText>
      </w:r>
      <w:r>
        <w:fldChar w:fldCharType="separate"/>
      </w:r>
      <w:r>
        <w:t>1</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"_Toc119750167"</w:instrText>
      </w:r>
      <w:r>
        <w:rPr>
          <w:rStyle w:val="13"/>
        </w:rPr>
        <w:instrText xml:space="preserve"> </w:instrText>
      </w:r>
      <w:r>
        <w:rPr>
          <w:rStyle w:val="13"/>
        </w:rPr>
        <w:fldChar w:fldCharType="separate"/>
      </w:r>
      <w:r>
        <w:rPr>
          <w:rStyle w:val="13"/>
        </w:rPr>
        <w:t>1.1社会经济情况</w:t>
      </w:r>
      <w:r>
        <w:tab/>
      </w:r>
      <w:r>
        <w:fldChar w:fldCharType="begin"/>
      </w:r>
      <w:r>
        <w:instrText xml:space="preserve"> PAGEREF _Toc119750167 \h </w:instrText>
      </w:r>
      <w:r>
        <w:fldChar w:fldCharType="separate"/>
      </w:r>
      <w:r>
        <w:t>1</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"_Toc119750168"</w:instrText>
      </w:r>
      <w:r>
        <w:rPr>
          <w:rStyle w:val="13"/>
        </w:rPr>
        <w:instrText xml:space="preserve"> </w:instrText>
      </w:r>
      <w:r>
        <w:rPr>
          <w:rStyle w:val="13"/>
        </w:rPr>
        <w:fldChar w:fldCharType="separate"/>
      </w:r>
      <w:r>
        <w:rPr>
          <w:rStyle w:val="13"/>
        </w:rPr>
        <w:t>1.2气候条件</w:t>
      </w:r>
      <w:r>
        <w:tab/>
      </w:r>
      <w:r>
        <w:fldChar w:fldCharType="begin"/>
      </w:r>
      <w:r>
        <w:instrText xml:space="preserve"> PAGEREF _Toc119750168 \h </w:instrText>
      </w:r>
      <w:r>
        <w:fldChar w:fldCharType="separate"/>
      </w:r>
      <w:r>
        <w:t>2</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"_Toc119750169"</w:instrText>
      </w:r>
      <w:r>
        <w:rPr>
          <w:rStyle w:val="13"/>
        </w:rPr>
        <w:instrText xml:space="preserve"> </w:instrText>
      </w:r>
      <w:r>
        <w:rPr>
          <w:rStyle w:val="13"/>
        </w:rPr>
        <w:fldChar w:fldCharType="separate"/>
      </w:r>
      <w:r>
        <w:rPr>
          <w:rStyle w:val="13"/>
        </w:rPr>
        <w:t>1.3水资源及利用</w:t>
      </w:r>
      <w:r>
        <w:tab/>
      </w:r>
      <w:r>
        <w:fldChar w:fldCharType="begin"/>
      </w:r>
      <w:r>
        <w:instrText xml:space="preserve"> PAGEREF _Toc119750169 \h </w:instrText>
      </w:r>
      <w:r>
        <w:fldChar w:fldCharType="separate"/>
      </w:r>
      <w:r>
        <w:t>2</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"_Toc119750170"</w:instrText>
      </w:r>
      <w:r>
        <w:rPr>
          <w:rStyle w:val="13"/>
        </w:rPr>
        <w:instrText xml:space="preserve"> </w:instrText>
      </w:r>
      <w:r>
        <w:rPr>
          <w:rStyle w:val="13"/>
        </w:rPr>
        <w:fldChar w:fldCharType="separate"/>
      </w:r>
      <w:r>
        <w:rPr>
          <w:rStyle w:val="13"/>
        </w:rPr>
        <w:t>1.4地形、地貌、地质</w:t>
      </w:r>
      <w:r>
        <w:tab/>
      </w:r>
      <w:r>
        <w:fldChar w:fldCharType="begin"/>
      </w:r>
      <w:r>
        <w:instrText xml:space="preserve"> PAGEREF _Toc119750170 \h </w:instrText>
      </w:r>
      <w:r>
        <w:fldChar w:fldCharType="separate"/>
      </w:r>
      <w:r>
        <w:t>3</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"_Toc119750171"</w:instrText>
      </w:r>
      <w:r>
        <w:rPr>
          <w:rStyle w:val="13"/>
        </w:rPr>
        <w:instrText xml:space="preserve"> </w:instrText>
      </w:r>
      <w:r>
        <w:rPr>
          <w:rStyle w:val="13"/>
        </w:rPr>
        <w:fldChar w:fldCharType="separate"/>
      </w:r>
      <w:r>
        <w:rPr>
          <w:rStyle w:val="13"/>
        </w:rPr>
        <w:t>1.5土地利用现状</w:t>
      </w:r>
      <w:r>
        <w:tab/>
      </w:r>
      <w:r>
        <w:fldChar w:fldCharType="begin"/>
      </w:r>
      <w:r>
        <w:instrText xml:space="preserve"> PAGEREF _Toc119750171 \h </w:instrText>
      </w:r>
      <w:r>
        <w:fldChar w:fldCharType="separate"/>
      </w:r>
      <w:r>
        <w:t>6</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"_Toc119750172"</w:instrText>
      </w:r>
      <w:r>
        <w:rPr>
          <w:rStyle w:val="13"/>
        </w:rPr>
        <w:instrText xml:space="preserve"> </w:instrText>
      </w:r>
      <w:r>
        <w:rPr>
          <w:rStyle w:val="13"/>
        </w:rPr>
        <w:fldChar w:fldCharType="separate"/>
      </w:r>
      <w:r>
        <w:rPr>
          <w:rStyle w:val="13"/>
        </w:rPr>
        <w:t>1.6种植情况</w:t>
      </w:r>
      <w:r>
        <w:tab/>
      </w:r>
      <w:r>
        <w:fldChar w:fldCharType="begin"/>
      </w:r>
      <w:r>
        <w:instrText xml:space="preserve"> PAGEREF _Toc119750172 \h </w:instrText>
      </w:r>
      <w:r>
        <w:fldChar w:fldCharType="separate"/>
      </w:r>
      <w:r>
        <w:t>8</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"_Toc119750173"</w:instrText>
      </w:r>
      <w:r>
        <w:rPr>
          <w:rStyle w:val="13"/>
        </w:rPr>
        <w:instrText xml:space="preserve"> </w:instrText>
      </w:r>
      <w:r>
        <w:rPr>
          <w:rStyle w:val="13"/>
        </w:rPr>
        <w:fldChar w:fldCharType="separate"/>
      </w:r>
      <w:r>
        <w:rPr>
          <w:rStyle w:val="13"/>
        </w:rPr>
        <w:t>1.7高标准农田建设情况</w:t>
      </w:r>
      <w:r>
        <w:tab/>
      </w:r>
      <w:r>
        <w:fldChar w:fldCharType="begin"/>
      </w:r>
      <w:r>
        <w:instrText xml:space="preserve"> PAGEREF _Toc119750173 \h </w:instrText>
      </w:r>
      <w:r>
        <w:fldChar w:fldCharType="separate"/>
      </w:r>
      <w:r>
        <w:t>8</w:t>
      </w:r>
      <w:r>
        <w:fldChar w:fldCharType="end"/>
      </w:r>
      <w:r>
        <w:rPr>
          <w:rStyle w:val="13"/>
        </w:rPr>
        <w:fldChar w:fldCharType="end"/>
      </w:r>
    </w:p>
    <w:p>
      <w:pPr>
        <w:pStyle w:val="8"/>
        <w:ind w:firstLine="643"/>
        <w:rPr>
          <w:rFonts w:ascii="等线" w:hAnsi="等线" w:eastAsia="等线" w:cs="Times New Roman"/>
          <w:b w:val="0"/>
          <w:bCs w:val="0"/>
          <w:snapToGrid/>
          <w:kern w:val="2"/>
          <w:sz w:val="21"/>
          <w:szCs w:val="22"/>
        </w:rPr>
      </w:pPr>
      <w:r>
        <w:rPr>
          <w:rStyle w:val="13"/>
        </w:rPr>
        <w:fldChar w:fldCharType="begin"/>
      </w:r>
      <w:r>
        <w:rPr>
          <w:rStyle w:val="13"/>
        </w:rPr>
        <w:instrText xml:space="preserve"> </w:instrText>
      </w:r>
      <w:r>
        <w:instrText xml:space="preserve">HYPERLINK \l "_Toc119750174"</w:instrText>
      </w:r>
      <w:r>
        <w:rPr>
          <w:rStyle w:val="13"/>
        </w:rPr>
        <w:instrText xml:space="preserve"> </w:instrText>
      </w:r>
      <w:r>
        <w:rPr>
          <w:rStyle w:val="13"/>
        </w:rPr>
        <w:fldChar w:fldCharType="separate"/>
      </w:r>
      <w:r>
        <w:rPr>
          <w:rStyle w:val="13"/>
        </w:rPr>
        <w:t>2发展形势</w:t>
      </w:r>
      <w:r>
        <w:tab/>
      </w:r>
      <w:r>
        <w:fldChar w:fldCharType="begin"/>
      </w:r>
      <w:r>
        <w:instrText xml:space="preserve"> PAGEREF _Toc119750174 \h </w:instrText>
      </w:r>
      <w:r>
        <w:fldChar w:fldCharType="separate"/>
      </w:r>
      <w:r>
        <w:t>15</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"_Toc119750175"</w:instrText>
      </w:r>
      <w:r>
        <w:rPr>
          <w:rStyle w:val="13"/>
        </w:rPr>
        <w:instrText xml:space="preserve"> </w:instrText>
      </w:r>
      <w:r>
        <w:rPr>
          <w:rStyle w:val="13"/>
        </w:rPr>
        <w:fldChar w:fldCharType="separate"/>
      </w:r>
      <w:r>
        <w:rPr>
          <w:rStyle w:val="13"/>
        </w:rPr>
        <w:t>2.1建设成效</w:t>
      </w:r>
      <w:r>
        <w:tab/>
      </w:r>
      <w:r>
        <w:fldChar w:fldCharType="begin"/>
      </w:r>
      <w:r>
        <w:instrText xml:space="preserve"> PAGEREF _Toc119750175 \h </w:instrText>
      </w:r>
      <w:r>
        <w:fldChar w:fldCharType="separate"/>
      </w:r>
      <w:r>
        <w:t>15</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"_Toc119750176"</w:instrText>
      </w:r>
      <w:r>
        <w:rPr>
          <w:rStyle w:val="13"/>
        </w:rPr>
        <w:instrText xml:space="preserve"> </w:instrText>
      </w:r>
      <w:r>
        <w:rPr>
          <w:rStyle w:val="13"/>
        </w:rPr>
        <w:fldChar w:fldCharType="separate"/>
      </w:r>
      <w:r>
        <w:rPr>
          <w:rStyle w:val="13"/>
        </w:rPr>
        <w:t>2.2建设经验</w:t>
      </w:r>
      <w:r>
        <w:tab/>
      </w:r>
      <w:r>
        <w:fldChar w:fldCharType="begin"/>
      </w:r>
      <w:r>
        <w:instrText xml:space="preserve"> PAGEREF _Toc119750176 \h </w:instrText>
      </w:r>
      <w:r>
        <w:fldChar w:fldCharType="separate"/>
      </w:r>
      <w:r>
        <w:t>16</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"_Toc119750177"</w:instrText>
      </w:r>
      <w:r>
        <w:rPr>
          <w:rStyle w:val="13"/>
        </w:rPr>
        <w:instrText xml:space="preserve"> </w:instrText>
      </w:r>
      <w:r>
        <w:rPr>
          <w:rStyle w:val="13"/>
        </w:rPr>
        <w:fldChar w:fldCharType="separate"/>
      </w:r>
      <w:r>
        <w:rPr>
          <w:rStyle w:val="13"/>
        </w:rPr>
        <w:t>2.3有利条件</w:t>
      </w:r>
      <w:r>
        <w:tab/>
      </w:r>
      <w:r>
        <w:fldChar w:fldCharType="begin"/>
      </w:r>
      <w:r>
        <w:instrText xml:space="preserve"> PAGEREF _Toc119750177 \h </w:instrText>
      </w:r>
      <w:r>
        <w:fldChar w:fldCharType="separate"/>
      </w:r>
      <w:r>
        <w:t>17</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"_Toc119750178"</w:instrText>
      </w:r>
      <w:r>
        <w:rPr>
          <w:rStyle w:val="13"/>
        </w:rPr>
        <w:instrText xml:space="preserve"> </w:instrText>
      </w:r>
      <w:r>
        <w:rPr>
          <w:rStyle w:val="13"/>
        </w:rPr>
        <w:fldChar w:fldCharType="separate"/>
      </w:r>
      <w:r>
        <w:rPr>
          <w:rStyle w:val="13"/>
        </w:rPr>
        <w:t>2.4主要问题</w:t>
      </w:r>
      <w:r>
        <w:tab/>
      </w:r>
      <w:r>
        <w:fldChar w:fldCharType="begin"/>
      </w:r>
      <w:r>
        <w:instrText xml:space="preserve"> PAGEREF _Toc119750178 \h </w:instrText>
      </w:r>
      <w:r>
        <w:fldChar w:fldCharType="separate"/>
      </w:r>
      <w:r>
        <w:t>19</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"_Toc119750179"</w:instrText>
      </w:r>
      <w:r>
        <w:rPr>
          <w:rStyle w:val="13"/>
        </w:rPr>
        <w:instrText xml:space="preserve"> </w:instrText>
      </w:r>
      <w:r>
        <w:rPr>
          <w:rStyle w:val="13"/>
        </w:rPr>
        <w:fldChar w:fldCharType="separate"/>
      </w:r>
      <w:r>
        <w:rPr>
          <w:rStyle w:val="13"/>
        </w:rPr>
        <w:t>2.5高标准农田建设的必要性</w:t>
      </w:r>
      <w:r>
        <w:tab/>
      </w:r>
      <w:r>
        <w:fldChar w:fldCharType="begin"/>
      </w:r>
      <w:r>
        <w:instrText xml:space="preserve"> PAGEREF _Toc119750179 \h </w:instrText>
      </w:r>
      <w:r>
        <w:fldChar w:fldCharType="separate"/>
      </w:r>
      <w:r>
        <w:t>22</w:t>
      </w:r>
      <w:r>
        <w:fldChar w:fldCharType="end"/>
      </w:r>
      <w:r>
        <w:rPr>
          <w:rStyle w:val="13"/>
        </w:rPr>
        <w:fldChar w:fldCharType="end"/>
      </w:r>
    </w:p>
    <w:p>
      <w:pPr>
        <w:pStyle w:val="8"/>
        <w:ind w:firstLine="643"/>
        <w:rPr>
          <w:rFonts w:ascii="等线" w:hAnsi="等线" w:eastAsia="等线" w:cs="Times New Roman"/>
          <w:b w:val="0"/>
          <w:bCs w:val="0"/>
          <w:snapToGrid/>
          <w:kern w:val="2"/>
          <w:sz w:val="21"/>
          <w:szCs w:val="22"/>
        </w:rPr>
      </w:pPr>
      <w:r>
        <w:rPr>
          <w:rStyle w:val="13"/>
        </w:rPr>
        <w:fldChar w:fldCharType="begin"/>
      </w:r>
      <w:r>
        <w:rPr>
          <w:rStyle w:val="13"/>
        </w:rPr>
        <w:instrText xml:space="preserve"> </w:instrText>
      </w:r>
      <w:r>
        <w:instrText xml:space="preserve">HYPERLINK \l "_Toc119750180"</w:instrText>
      </w:r>
      <w:r>
        <w:rPr>
          <w:rStyle w:val="13"/>
        </w:rPr>
        <w:instrText xml:space="preserve"> </w:instrText>
      </w:r>
      <w:r>
        <w:rPr>
          <w:rStyle w:val="13"/>
        </w:rPr>
        <w:fldChar w:fldCharType="separate"/>
      </w:r>
      <w:r>
        <w:rPr>
          <w:rStyle w:val="13"/>
        </w:rPr>
        <w:t>3总体要求</w:t>
      </w:r>
      <w:r>
        <w:tab/>
      </w:r>
      <w:r>
        <w:fldChar w:fldCharType="begin"/>
      </w:r>
      <w:r>
        <w:instrText xml:space="preserve"> PAGEREF _Toc119750180 \h </w:instrText>
      </w:r>
      <w:r>
        <w:fldChar w:fldCharType="separate"/>
      </w:r>
      <w:r>
        <w:t>24</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"_Toc119750181"</w:instrText>
      </w:r>
      <w:r>
        <w:rPr>
          <w:rStyle w:val="13"/>
        </w:rPr>
        <w:instrText xml:space="preserve"> </w:instrText>
      </w:r>
      <w:r>
        <w:rPr>
          <w:rStyle w:val="13"/>
        </w:rPr>
        <w:fldChar w:fldCharType="separate"/>
      </w:r>
      <w:r>
        <w:rPr>
          <w:rStyle w:val="13"/>
        </w:rPr>
        <w:t>3.1指导思想</w:t>
      </w:r>
      <w:r>
        <w:tab/>
      </w:r>
      <w:r>
        <w:fldChar w:fldCharType="begin"/>
      </w:r>
      <w:r>
        <w:instrText xml:space="preserve"> PAGEREF _Toc119750181 \h </w:instrText>
      </w:r>
      <w:r>
        <w:fldChar w:fldCharType="separate"/>
      </w:r>
      <w:r>
        <w:t>24</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"_Toc119750182"</w:instrText>
      </w:r>
      <w:r>
        <w:rPr>
          <w:rStyle w:val="13"/>
        </w:rPr>
        <w:instrText xml:space="preserve"> </w:instrText>
      </w:r>
      <w:r>
        <w:rPr>
          <w:rStyle w:val="13"/>
        </w:rPr>
        <w:fldChar w:fldCharType="separate"/>
      </w:r>
      <w:r>
        <w:rPr>
          <w:rStyle w:val="13"/>
        </w:rPr>
        <w:t>3.2工作原则</w:t>
      </w:r>
      <w:r>
        <w:tab/>
      </w:r>
      <w:r>
        <w:fldChar w:fldCharType="begin"/>
      </w:r>
      <w:r>
        <w:instrText xml:space="preserve"> PAGEREF _Toc119750182 \h </w:instrText>
      </w:r>
      <w:r>
        <w:fldChar w:fldCharType="separate"/>
      </w:r>
      <w:r>
        <w:t>24</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"_Toc119750183"</w:instrText>
      </w:r>
      <w:r>
        <w:rPr>
          <w:rStyle w:val="13"/>
        </w:rPr>
        <w:instrText xml:space="preserve"> </w:instrText>
      </w:r>
      <w:r>
        <w:rPr>
          <w:rStyle w:val="13"/>
        </w:rPr>
        <w:fldChar w:fldCharType="separate"/>
      </w:r>
      <w:r>
        <w:rPr>
          <w:rStyle w:val="13"/>
        </w:rPr>
        <w:t>3.3建设目标</w:t>
      </w:r>
      <w:r>
        <w:tab/>
      </w:r>
      <w:r>
        <w:fldChar w:fldCharType="begin"/>
      </w:r>
      <w:r>
        <w:instrText xml:space="preserve"> PAGEREF _Toc119750183 \h </w:instrText>
      </w:r>
      <w:r>
        <w:fldChar w:fldCharType="separate"/>
      </w:r>
      <w:r>
        <w:t>25</w:t>
      </w:r>
      <w:r>
        <w:fldChar w:fldCharType="end"/>
      </w:r>
      <w:r>
        <w:rPr>
          <w:rStyle w:val="13"/>
        </w:rPr>
        <w:fldChar w:fldCharType="end"/>
      </w:r>
    </w:p>
    <w:p>
      <w:pPr>
        <w:pStyle w:val="8"/>
        <w:ind w:firstLine="643"/>
        <w:rPr>
          <w:rFonts w:ascii="等线" w:hAnsi="等线" w:eastAsia="等线" w:cs="Times New Roman"/>
          <w:b w:val="0"/>
          <w:bCs w:val="0"/>
          <w:snapToGrid/>
          <w:kern w:val="2"/>
          <w:sz w:val="21"/>
          <w:szCs w:val="22"/>
        </w:rPr>
      </w:pPr>
      <w:r>
        <w:rPr>
          <w:rStyle w:val="13"/>
        </w:rPr>
        <w:fldChar w:fldCharType="begin"/>
      </w:r>
      <w:r>
        <w:rPr>
          <w:rStyle w:val="13"/>
        </w:rPr>
        <w:instrText xml:space="preserve"> </w:instrText>
      </w:r>
      <w:r>
        <w:instrText xml:space="preserve">HYPERLINK \l "_Toc119750184"</w:instrText>
      </w:r>
      <w:r>
        <w:rPr>
          <w:rStyle w:val="13"/>
        </w:rPr>
        <w:instrText xml:space="preserve"> </w:instrText>
      </w:r>
      <w:r>
        <w:rPr>
          <w:rStyle w:val="13"/>
        </w:rPr>
        <w:fldChar w:fldCharType="separate"/>
      </w:r>
      <w:r>
        <w:rPr>
          <w:rStyle w:val="13"/>
        </w:rPr>
        <w:t>4建设内容和建设标准</w:t>
      </w:r>
      <w:r>
        <w:tab/>
      </w:r>
      <w:r>
        <w:fldChar w:fldCharType="begin"/>
      </w:r>
      <w:r>
        <w:instrText xml:space="preserve"> PAGEREF _Toc119750184 \h </w:instrText>
      </w:r>
      <w:r>
        <w:fldChar w:fldCharType="separate"/>
      </w:r>
      <w:r>
        <w:t>27</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"_Toc119750185"</w:instrText>
      </w:r>
      <w:r>
        <w:rPr>
          <w:rStyle w:val="13"/>
        </w:rPr>
        <w:instrText xml:space="preserve"> </w:instrText>
      </w:r>
      <w:r>
        <w:rPr>
          <w:rStyle w:val="13"/>
        </w:rPr>
        <w:fldChar w:fldCharType="separate"/>
      </w:r>
      <w:r>
        <w:rPr>
          <w:rStyle w:val="13"/>
        </w:rPr>
        <w:t>4.1田块整治</w:t>
      </w:r>
      <w:r>
        <w:tab/>
      </w:r>
      <w:r>
        <w:fldChar w:fldCharType="begin"/>
      </w:r>
      <w:r>
        <w:instrText xml:space="preserve"> PAGEREF _Toc119750185 \h </w:instrText>
      </w:r>
      <w:r>
        <w:fldChar w:fldCharType="separate"/>
      </w:r>
      <w:r>
        <w:t>27</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"_Toc119750186"</w:instrText>
      </w:r>
      <w:r>
        <w:rPr>
          <w:rStyle w:val="13"/>
        </w:rPr>
        <w:instrText xml:space="preserve"> </w:instrText>
      </w:r>
      <w:r>
        <w:rPr>
          <w:rStyle w:val="13"/>
        </w:rPr>
        <w:fldChar w:fldCharType="separate"/>
      </w:r>
      <w:r>
        <w:rPr>
          <w:rStyle w:val="13"/>
        </w:rPr>
        <w:t>4.2土壤改良</w:t>
      </w:r>
      <w:r>
        <w:tab/>
      </w:r>
      <w:r>
        <w:fldChar w:fldCharType="begin"/>
      </w:r>
      <w:r>
        <w:instrText xml:space="preserve"> PAGEREF _Toc119750186 \h </w:instrText>
      </w:r>
      <w:r>
        <w:fldChar w:fldCharType="separate"/>
      </w:r>
      <w:r>
        <w:t>28</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"_Toc119750187"</w:instrText>
      </w:r>
      <w:r>
        <w:rPr>
          <w:rStyle w:val="13"/>
        </w:rPr>
        <w:instrText xml:space="preserve"> </w:instrText>
      </w:r>
      <w:r>
        <w:rPr>
          <w:rStyle w:val="13"/>
        </w:rPr>
        <w:fldChar w:fldCharType="separate"/>
      </w:r>
      <w:r>
        <w:rPr>
          <w:rStyle w:val="13"/>
        </w:rPr>
        <w:t>4.3灌溉和排水</w:t>
      </w:r>
      <w:r>
        <w:tab/>
      </w:r>
      <w:r>
        <w:fldChar w:fldCharType="begin"/>
      </w:r>
      <w:r>
        <w:instrText xml:space="preserve"> PAGEREF _Toc119750187 \h </w:instrText>
      </w:r>
      <w:r>
        <w:fldChar w:fldCharType="separate"/>
      </w:r>
      <w:r>
        <w:t>31</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"_Toc119750188"</w:instrText>
      </w:r>
      <w:r>
        <w:rPr>
          <w:rStyle w:val="13"/>
        </w:rPr>
        <w:instrText xml:space="preserve"> </w:instrText>
      </w:r>
      <w:r>
        <w:rPr>
          <w:rStyle w:val="13"/>
        </w:rPr>
        <w:fldChar w:fldCharType="separate"/>
      </w:r>
      <w:r>
        <w:rPr>
          <w:rStyle w:val="13"/>
        </w:rPr>
        <w:t>4.4田间道路</w:t>
      </w:r>
      <w:r>
        <w:tab/>
      </w:r>
      <w:r>
        <w:fldChar w:fldCharType="begin"/>
      </w:r>
      <w:r>
        <w:instrText xml:space="preserve"> PAGEREF _Toc119750188 \h </w:instrText>
      </w:r>
      <w:r>
        <w:fldChar w:fldCharType="separate"/>
      </w:r>
      <w:r>
        <w:t>32</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"_Toc119750189"</w:instrText>
      </w:r>
      <w:r>
        <w:rPr>
          <w:rStyle w:val="13"/>
        </w:rPr>
        <w:instrText xml:space="preserve"> </w:instrText>
      </w:r>
      <w:r>
        <w:rPr>
          <w:rStyle w:val="13"/>
        </w:rPr>
        <w:fldChar w:fldCharType="separate"/>
      </w:r>
      <w:r>
        <w:rPr>
          <w:rStyle w:val="13"/>
        </w:rPr>
        <w:t>4.5农田防护和生态环境保护</w:t>
      </w:r>
      <w:r>
        <w:tab/>
      </w:r>
      <w:r>
        <w:fldChar w:fldCharType="begin"/>
      </w:r>
      <w:r>
        <w:instrText xml:space="preserve"> PAGEREF _Toc119750189 \h </w:instrText>
      </w:r>
      <w:r>
        <w:fldChar w:fldCharType="separate"/>
      </w:r>
      <w:r>
        <w:t>32</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"_Toc119750190"</w:instrText>
      </w:r>
      <w:r>
        <w:rPr>
          <w:rStyle w:val="13"/>
        </w:rPr>
        <w:instrText xml:space="preserve"> </w:instrText>
      </w:r>
      <w:r>
        <w:rPr>
          <w:rStyle w:val="13"/>
        </w:rPr>
        <w:fldChar w:fldCharType="separate"/>
      </w:r>
      <w:r>
        <w:rPr>
          <w:rStyle w:val="13"/>
        </w:rPr>
        <w:t>4.6农田输配电</w:t>
      </w:r>
      <w:r>
        <w:tab/>
      </w:r>
      <w:r>
        <w:fldChar w:fldCharType="begin"/>
      </w:r>
      <w:r>
        <w:instrText xml:space="preserve"> PAGEREF _Toc119750190 \h </w:instrText>
      </w:r>
      <w:r>
        <w:fldChar w:fldCharType="separate"/>
      </w:r>
      <w:r>
        <w:t>33</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"_Toc119750191"</w:instrText>
      </w:r>
      <w:r>
        <w:rPr>
          <w:rStyle w:val="13"/>
        </w:rPr>
        <w:instrText xml:space="preserve"> </w:instrText>
      </w:r>
      <w:r>
        <w:rPr>
          <w:rStyle w:val="13"/>
        </w:rPr>
        <w:fldChar w:fldCharType="separate"/>
      </w:r>
      <w:r>
        <w:rPr>
          <w:rStyle w:val="13"/>
        </w:rPr>
        <w:t>4.7科技服务</w:t>
      </w:r>
      <w:r>
        <w:tab/>
      </w:r>
      <w:r>
        <w:fldChar w:fldCharType="begin"/>
      </w:r>
      <w:r>
        <w:instrText xml:space="preserve"> PAGEREF _Toc119750191 \h </w:instrText>
      </w:r>
      <w:r>
        <w:fldChar w:fldCharType="separate"/>
      </w:r>
      <w:r>
        <w:t>34</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"_Toc119750192"</w:instrText>
      </w:r>
      <w:r>
        <w:rPr>
          <w:rStyle w:val="13"/>
        </w:rPr>
        <w:instrText xml:space="preserve"> </w:instrText>
      </w:r>
      <w:r>
        <w:rPr>
          <w:rStyle w:val="13"/>
        </w:rPr>
        <w:fldChar w:fldCharType="separate"/>
      </w:r>
      <w:r>
        <w:rPr>
          <w:rStyle w:val="13"/>
        </w:rPr>
        <w:t>4.8管护利用</w:t>
      </w:r>
      <w:r>
        <w:tab/>
      </w:r>
      <w:r>
        <w:fldChar w:fldCharType="begin"/>
      </w:r>
      <w:r>
        <w:instrText xml:space="preserve"> PAGEREF _Toc119750192 \h </w:instrText>
      </w:r>
      <w:r>
        <w:fldChar w:fldCharType="separate"/>
      </w:r>
      <w:r>
        <w:t>36</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"_Toc119750193"</w:instrText>
      </w:r>
      <w:r>
        <w:rPr>
          <w:rStyle w:val="13"/>
        </w:rPr>
        <w:instrText xml:space="preserve"> </w:instrText>
      </w:r>
      <w:r>
        <w:rPr>
          <w:rStyle w:val="13"/>
        </w:rPr>
        <w:fldChar w:fldCharType="separate"/>
      </w:r>
      <w:r>
        <w:rPr>
          <w:rStyle w:val="13"/>
        </w:rPr>
        <w:t>4.9设计依据</w:t>
      </w:r>
      <w:r>
        <w:tab/>
      </w:r>
      <w:r>
        <w:fldChar w:fldCharType="begin"/>
      </w:r>
      <w:r>
        <w:instrText xml:space="preserve"> PAGEREF _Toc119750193 \h </w:instrText>
      </w:r>
      <w:r>
        <w:fldChar w:fldCharType="separate"/>
      </w:r>
      <w:r>
        <w:t>37</w:t>
      </w:r>
      <w:r>
        <w:fldChar w:fldCharType="end"/>
      </w:r>
      <w:r>
        <w:rPr>
          <w:rStyle w:val="13"/>
        </w:rPr>
        <w:fldChar w:fldCharType="end"/>
      </w:r>
    </w:p>
    <w:p>
      <w:pPr>
        <w:pStyle w:val="8"/>
        <w:ind w:firstLine="643"/>
        <w:rPr>
          <w:rFonts w:ascii="等线" w:hAnsi="等线" w:eastAsia="等线" w:cs="Times New Roman"/>
          <w:b w:val="0"/>
          <w:bCs w:val="0"/>
          <w:snapToGrid/>
          <w:kern w:val="2"/>
          <w:sz w:val="21"/>
          <w:szCs w:val="22"/>
        </w:rPr>
      </w:pPr>
      <w:r>
        <w:rPr>
          <w:rStyle w:val="13"/>
        </w:rPr>
        <w:fldChar w:fldCharType="begin"/>
      </w:r>
      <w:r>
        <w:rPr>
          <w:rStyle w:val="13"/>
        </w:rPr>
        <w:instrText xml:space="preserve"> </w:instrText>
      </w:r>
      <w:r>
        <w:instrText xml:space="preserve">HYPERLINK \l "_Toc119750194"</w:instrText>
      </w:r>
      <w:r>
        <w:rPr>
          <w:rStyle w:val="13"/>
        </w:rPr>
        <w:instrText xml:space="preserve"> </w:instrText>
      </w:r>
      <w:r>
        <w:rPr>
          <w:rStyle w:val="13"/>
        </w:rPr>
        <w:fldChar w:fldCharType="separate"/>
      </w:r>
      <w:r>
        <w:rPr>
          <w:rStyle w:val="13"/>
        </w:rPr>
        <w:t>5建设分区和建设重点</w:t>
      </w:r>
      <w:r>
        <w:tab/>
      </w:r>
      <w:r>
        <w:fldChar w:fldCharType="begin"/>
      </w:r>
      <w:r>
        <w:instrText xml:space="preserve"> PAGEREF _Toc119750194 \h </w:instrText>
      </w:r>
      <w:r>
        <w:fldChar w:fldCharType="separate"/>
      </w:r>
      <w:r>
        <w:t>38</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"_Toc119750195"</w:instrText>
      </w:r>
      <w:r>
        <w:rPr>
          <w:rStyle w:val="13"/>
        </w:rPr>
        <w:instrText xml:space="preserve"> </w:instrText>
      </w:r>
      <w:r>
        <w:rPr>
          <w:rStyle w:val="13"/>
        </w:rPr>
        <w:fldChar w:fldCharType="separate"/>
      </w:r>
      <w:r>
        <w:rPr>
          <w:rStyle w:val="13"/>
        </w:rPr>
        <w:t>5.1建设分区</w:t>
      </w:r>
      <w:r>
        <w:tab/>
      </w:r>
      <w:r>
        <w:fldChar w:fldCharType="begin"/>
      </w:r>
      <w:r>
        <w:instrText xml:space="preserve"> PAGEREF _Toc119750195 \h </w:instrText>
      </w:r>
      <w:r>
        <w:fldChar w:fldCharType="separate"/>
      </w:r>
      <w:r>
        <w:t>38</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"_Toc119750196"</w:instrText>
      </w:r>
      <w:r>
        <w:rPr>
          <w:rStyle w:val="13"/>
        </w:rPr>
        <w:instrText xml:space="preserve"> </w:instrText>
      </w:r>
      <w:r>
        <w:rPr>
          <w:rStyle w:val="13"/>
        </w:rPr>
        <w:fldChar w:fldCharType="separate"/>
      </w:r>
      <w:r>
        <w:rPr>
          <w:rStyle w:val="13"/>
        </w:rPr>
        <w:t>5.2建设重点</w:t>
      </w:r>
      <w:r>
        <w:tab/>
      </w:r>
      <w:r>
        <w:fldChar w:fldCharType="begin"/>
      </w:r>
      <w:r>
        <w:instrText xml:space="preserve"> PAGEREF _Toc119750196 \h </w:instrText>
      </w:r>
      <w:r>
        <w:fldChar w:fldCharType="separate"/>
      </w:r>
      <w:r>
        <w:t>38</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"_Toc119750197"</w:instrText>
      </w:r>
      <w:r>
        <w:rPr>
          <w:rStyle w:val="13"/>
        </w:rPr>
        <w:instrText xml:space="preserve"> </w:instrText>
      </w:r>
      <w:r>
        <w:rPr>
          <w:rStyle w:val="13"/>
        </w:rPr>
        <w:fldChar w:fldCharType="separate"/>
      </w:r>
      <w:r>
        <w:rPr>
          <w:rStyle w:val="13"/>
        </w:rPr>
        <w:t>5.3重点工程</w:t>
      </w:r>
      <w:r>
        <w:tab/>
      </w:r>
      <w:r>
        <w:fldChar w:fldCharType="begin"/>
      </w:r>
      <w:r>
        <w:instrText xml:space="preserve"> PAGEREF _Toc119750197 \h </w:instrText>
      </w:r>
      <w:r>
        <w:fldChar w:fldCharType="separate"/>
      </w:r>
      <w:r>
        <w:t>39</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"_Toc119750198"</w:instrText>
      </w:r>
      <w:r>
        <w:rPr>
          <w:rStyle w:val="13"/>
        </w:rPr>
        <w:instrText xml:space="preserve"> </w:instrText>
      </w:r>
      <w:r>
        <w:rPr>
          <w:rStyle w:val="13"/>
        </w:rPr>
        <w:fldChar w:fldCharType="separate"/>
      </w:r>
      <w:r>
        <w:rPr>
          <w:rStyle w:val="13"/>
        </w:rPr>
        <w:t>5.4建设任务</w:t>
      </w:r>
      <w:r>
        <w:tab/>
      </w:r>
      <w:r>
        <w:fldChar w:fldCharType="begin"/>
      </w:r>
      <w:r>
        <w:instrText xml:space="preserve"> PAGEREF _Toc119750198 \h </w:instrText>
      </w:r>
      <w:r>
        <w:fldChar w:fldCharType="separate"/>
      </w:r>
      <w:r>
        <w:t>40</w:t>
      </w:r>
      <w:r>
        <w:fldChar w:fldCharType="end"/>
      </w:r>
      <w:r>
        <w:rPr>
          <w:rStyle w:val="13"/>
        </w:rPr>
        <w:fldChar w:fldCharType="end"/>
      </w:r>
    </w:p>
    <w:p>
      <w:pPr>
        <w:pStyle w:val="8"/>
        <w:ind w:firstLine="643"/>
        <w:rPr>
          <w:rFonts w:ascii="等线" w:hAnsi="等线" w:eastAsia="等线" w:cs="Times New Roman"/>
          <w:b w:val="0"/>
          <w:bCs w:val="0"/>
          <w:snapToGrid/>
          <w:kern w:val="2"/>
          <w:sz w:val="21"/>
          <w:szCs w:val="22"/>
        </w:rPr>
      </w:pPr>
      <w:r>
        <w:rPr>
          <w:rStyle w:val="13"/>
        </w:rPr>
        <w:fldChar w:fldCharType="begin"/>
      </w:r>
      <w:r>
        <w:rPr>
          <w:rStyle w:val="13"/>
        </w:rPr>
        <w:instrText xml:space="preserve"> </w:instrText>
      </w:r>
      <w:r>
        <w:instrText xml:space="preserve">HYPERLINK \l "_Toc119750199"</w:instrText>
      </w:r>
      <w:r>
        <w:rPr>
          <w:rStyle w:val="13"/>
        </w:rPr>
        <w:instrText xml:space="preserve"> </w:instrText>
      </w:r>
      <w:r>
        <w:rPr>
          <w:rStyle w:val="13"/>
        </w:rPr>
        <w:fldChar w:fldCharType="separate"/>
      </w:r>
      <w:r>
        <w:rPr>
          <w:rStyle w:val="13"/>
        </w:rPr>
        <w:t>6投资</w:t>
      </w:r>
      <w:r>
        <w:rPr>
          <w:rStyle w:val="13"/>
          <w:rFonts w:hint="eastAsia"/>
          <w:lang w:eastAsia="zh-CN"/>
        </w:rPr>
        <w:t>匡</w:t>
      </w:r>
      <w:r>
        <w:rPr>
          <w:rStyle w:val="13"/>
        </w:rPr>
        <w:t>算</w:t>
      </w:r>
      <w:r>
        <w:tab/>
      </w:r>
      <w:r>
        <w:fldChar w:fldCharType="begin"/>
      </w:r>
      <w:r>
        <w:instrText xml:space="preserve"> PAGEREF _Toc119750199 \h </w:instrText>
      </w:r>
      <w:r>
        <w:fldChar w:fldCharType="separate"/>
      </w:r>
      <w:r>
        <w:t>44</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"_Toc119750200"</w:instrText>
      </w:r>
      <w:r>
        <w:rPr>
          <w:rStyle w:val="13"/>
        </w:rPr>
        <w:instrText xml:space="preserve"> </w:instrText>
      </w:r>
      <w:r>
        <w:rPr>
          <w:rStyle w:val="13"/>
        </w:rPr>
        <w:fldChar w:fldCharType="separate"/>
      </w:r>
      <w:r>
        <w:rPr>
          <w:rStyle w:val="13"/>
        </w:rPr>
        <w:t>6.1新建高标准农田建设资金</w:t>
      </w:r>
      <w:r>
        <w:tab/>
      </w:r>
      <w:r>
        <w:fldChar w:fldCharType="begin"/>
      </w:r>
      <w:r>
        <w:instrText xml:space="preserve"> PAGEREF _Toc119750200 \h </w:instrText>
      </w:r>
      <w:r>
        <w:fldChar w:fldCharType="separate"/>
      </w:r>
      <w:r>
        <w:t>44</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"_Toc119750201"</w:instrText>
      </w:r>
      <w:r>
        <w:rPr>
          <w:rStyle w:val="13"/>
        </w:rPr>
        <w:instrText xml:space="preserve"> </w:instrText>
      </w:r>
      <w:r>
        <w:rPr>
          <w:rStyle w:val="13"/>
        </w:rPr>
        <w:fldChar w:fldCharType="separate"/>
      </w:r>
      <w:r>
        <w:rPr>
          <w:rStyle w:val="13"/>
        </w:rPr>
        <w:t>6.2提质改造高标准农田建设资金</w:t>
      </w:r>
      <w:r>
        <w:tab/>
      </w:r>
      <w:r>
        <w:fldChar w:fldCharType="begin"/>
      </w:r>
      <w:r>
        <w:instrText xml:space="preserve"> PAGEREF _Toc119750201 \h </w:instrText>
      </w:r>
      <w:r>
        <w:fldChar w:fldCharType="separate"/>
      </w:r>
      <w:r>
        <w:t>44</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"_Toc119750202"</w:instrText>
      </w:r>
      <w:r>
        <w:rPr>
          <w:rStyle w:val="13"/>
        </w:rPr>
        <w:instrText xml:space="preserve"> </w:instrText>
      </w:r>
      <w:r>
        <w:rPr>
          <w:rStyle w:val="13"/>
        </w:rPr>
        <w:fldChar w:fldCharType="separate"/>
      </w:r>
      <w:r>
        <w:rPr>
          <w:rStyle w:val="13"/>
        </w:rPr>
        <w:t>6.3高标准农田示范区建设项目资金</w:t>
      </w:r>
      <w:r>
        <w:tab/>
      </w:r>
      <w:r>
        <w:fldChar w:fldCharType="begin"/>
      </w:r>
      <w:r>
        <w:instrText xml:space="preserve"> PAGEREF _Toc119750202 \h </w:instrText>
      </w:r>
      <w:r>
        <w:fldChar w:fldCharType="separate"/>
      </w:r>
      <w:r>
        <w:t>45</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"_Toc119750203"</w:instrText>
      </w:r>
      <w:r>
        <w:rPr>
          <w:rStyle w:val="13"/>
        </w:rPr>
        <w:instrText xml:space="preserve"> </w:instrText>
      </w:r>
      <w:r>
        <w:rPr>
          <w:rStyle w:val="13"/>
        </w:rPr>
        <w:fldChar w:fldCharType="separate"/>
      </w:r>
      <w:r>
        <w:rPr>
          <w:rStyle w:val="13"/>
        </w:rPr>
        <w:t>6.4绿色农田生态建设示范区资金</w:t>
      </w:r>
      <w:r>
        <w:tab/>
      </w:r>
      <w:r>
        <w:fldChar w:fldCharType="begin"/>
      </w:r>
      <w:r>
        <w:instrText xml:space="preserve"> PAGEREF _Toc119750203 \h </w:instrText>
      </w:r>
      <w:r>
        <w:fldChar w:fldCharType="separate"/>
      </w:r>
      <w:r>
        <w:t>45</w:t>
      </w:r>
      <w:r>
        <w:fldChar w:fldCharType="end"/>
      </w:r>
      <w:r>
        <w:rPr>
          <w:rStyle w:val="13"/>
        </w:rPr>
        <w:fldChar w:fldCharType="end"/>
      </w:r>
    </w:p>
    <w:p>
      <w:pPr>
        <w:pStyle w:val="8"/>
        <w:ind w:firstLine="643"/>
        <w:rPr>
          <w:rFonts w:ascii="等线" w:hAnsi="等线" w:eastAsia="等线" w:cs="Times New Roman"/>
          <w:b w:val="0"/>
          <w:bCs w:val="0"/>
          <w:snapToGrid/>
          <w:kern w:val="2"/>
          <w:sz w:val="21"/>
          <w:szCs w:val="22"/>
        </w:rPr>
      </w:pPr>
      <w:r>
        <w:rPr>
          <w:rStyle w:val="13"/>
        </w:rPr>
        <w:fldChar w:fldCharType="begin"/>
      </w:r>
      <w:r>
        <w:rPr>
          <w:rStyle w:val="13"/>
        </w:rPr>
        <w:instrText xml:space="preserve"> </w:instrText>
      </w:r>
      <w:r>
        <w:instrText xml:space="preserve">HYPERLINK \l "_Toc119750204"</w:instrText>
      </w:r>
      <w:r>
        <w:rPr>
          <w:rStyle w:val="13"/>
        </w:rPr>
        <w:instrText xml:space="preserve"> </w:instrText>
      </w:r>
      <w:r>
        <w:rPr>
          <w:rStyle w:val="13"/>
        </w:rPr>
        <w:fldChar w:fldCharType="separate"/>
      </w:r>
      <w:r>
        <w:rPr>
          <w:rStyle w:val="13"/>
        </w:rPr>
        <w:t>7建设监管和后续管护</w:t>
      </w:r>
      <w:r>
        <w:tab/>
      </w:r>
      <w:r>
        <w:fldChar w:fldCharType="begin"/>
      </w:r>
      <w:r>
        <w:instrText xml:space="preserve"> PAGEREF _Toc119750204 \h </w:instrText>
      </w:r>
      <w:r>
        <w:fldChar w:fldCharType="separate"/>
      </w:r>
      <w:r>
        <w:t>46</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"_Toc119750205"</w:instrText>
      </w:r>
      <w:r>
        <w:rPr>
          <w:rStyle w:val="13"/>
        </w:rPr>
        <w:instrText xml:space="preserve"> </w:instrText>
      </w:r>
      <w:r>
        <w:rPr>
          <w:rStyle w:val="13"/>
        </w:rPr>
        <w:fldChar w:fldCharType="separate"/>
      </w:r>
      <w:r>
        <w:rPr>
          <w:rStyle w:val="13"/>
        </w:rPr>
        <w:t>7.1强化质量管理</w:t>
      </w:r>
      <w:r>
        <w:tab/>
      </w:r>
      <w:r>
        <w:fldChar w:fldCharType="begin"/>
      </w:r>
      <w:r>
        <w:instrText xml:space="preserve"> PAGEREF _Toc119750205 \h </w:instrText>
      </w:r>
      <w:r>
        <w:fldChar w:fldCharType="separate"/>
      </w:r>
      <w:r>
        <w:t>46</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"_Toc119750206"</w:instrText>
      </w:r>
      <w:r>
        <w:rPr>
          <w:rStyle w:val="13"/>
        </w:rPr>
        <w:instrText xml:space="preserve"> </w:instrText>
      </w:r>
      <w:r>
        <w:rPr>
          <w:rStyle w:val="13"/>
        </w:rPr>
        <w:fldChar w:fldCharType="separate"/>
      </w:r>
      <w:r>
        <w:rPr>
          <w:rStyle w:val="13"/>
        </w:rPr>
        <w:t>7.2统一上图入库</w:t>
      </w:r>
      <w:r>
        <w:tab/>
      </w:r>
      <w:r>
        <w:fldChar w:fldCharType="begin"/>
      </w:r>
      <w:r>
        <w:instrText xml:space="preserve"> PAGEREF _Toc119750206 \h </w:instrText>
      </w:r>
      <w:r>
        <w:fldChar w:fldCharType="separate"/>
      </w:r>
      <w:r>
        <w:t>51</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"_Toc119750207"</w:instrText>
      </w:r>
      <w:r>
        <w:rPr>
          <w:rStyle w:val="13"/>
        </w:rPr>
        <w:instrText xml:space="preserve"> </w:instrText>
      </w:r>
      <w:r>
        <w:rPr>
          <w:rStyle w:val="13"/>
        </w:rPr>
        <w:fldChar w:fldCharType="separate"/>
      </w:r>
      <w:r>
        <w:rPr>
          <w:rStyle w:val="13"/>
        </w:rPr>
        <w:t>7.3规范竣工验收</w:t>
      </w:r>
      <w:r>
        <w:tab/>
      </w:r>
      <w:r>
        <w:fldChar w:fldCharType="begin"/>
      </w:r>
      <w:r>
        <w:instrText xml:space="preserve"> PAGEREF _Toc119750207 \h </w:instrText>
      </w:r>
      <w:r>
        <w:fldChar w:fldCharType="separate"/>
      </w:r>
      <w:r>
        <w:t>52</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"_Toc119750208"</w:instrText>
      </w:r>
      <w:r>
        <w:rPr>
          <w:rStyle w:val="13"/>
        </w:rPr>
        <w:instrText xml:space="preserve"> </w:instrText>
      </w:r>
      <w:r>
        <w:rPr>
          <w:rStyle w:val="13"/>
        </w:rPr>
        <w:fldChar w:fldCharType="separate"/>
      </w:r>
      <w:r>
        <w:rPr>
          <w:rStyle w:val="13"/>
        </w:rPr>
        <w:t>7.4加强后续管护</w:t>
      </w:r>
      <w:r>
        <w:tab/>
      </w:r>
      <w:r>
        <w:fldChar w:fldCharType="begin"/>
      </w:r>
      <w:r>
        <w:instrText xml:space="preserve"> PAGEREF _Toc119750208 \h </w:instrText>
      </w:r>
      <w:r>
        <w:fldChar w:fldCharType="separate"/>
      </w:r>
      <w:r>
        <w:t>52</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"_Toc119750209"</w:instrText>
      </w:r>
      <w:r>
        <w:rPr>
          <w:rStyle w:val="13"/>
        </w:rPr>
        <w:instrText xml:space="preserve"> </w:instrText>
      </w:r>
      <w:r>
        <w:rPr>
          <w:rStyle w:val="13"/>
        </w:rPr>
        <w:fldChar w:fldCharType="separate"/>
      </w:r>
      <w:r>
        <w:rPr>
          <w:rStyle w:val="13"/>
        </w:rPr>
        <w:t>7.5严格保护利用</w:t>
      </w:r>
      <w:r>
        <w:tab/>
      </w:r>
      <w:r>
        <w:fldChar w:fldCharType="begin"/>
      </w:r>
      <w:r>
        <w:instrText xml:space="preserve"> PAGEREF _Toc119750209 \h </w:instrText>
      </w:r>
      <w:r>
        <w:fldChar w:fldCharType="separate"/>
      </w:r>
      <w:r>
        <w:t>52</w:t>
      </w:r>
      <w:r>
        <w:fldChar w:fldCharType="end"/>
      </w:r>
      <w:r>
        <w:rPr>
          <w:rStyle w:val="13"/>
        </w:rPr>
        <w:fldChar w:fldCharType="end"/>
      </w:r>
    </w:p>
    <w:p>
      <w:pPr>
        <w:pStyle w:val="8"/>
        <w:ind w:firstLine="643"/>
        <w:rPr>
          <w:rFonts w:ascii="等线" w:hAnsi="等线" w:eastAsia="等线" w:cs="Times New Roman"/>
          <w:b w:val="0"/>
          <w:bCs w:val="0"/>
          <w:snapToGrid/>
          <w:kern w:val="2"/>
          <w:sz w:val="21"/>
          <w:szCs w:val="22"/>
        </w:rPr>
      </w:pPr>
      <w:r>
        <w:rPr>
          <w:rStyle w:val="13"/>
        </w:rPr>
        <w:fldChar w:fldCharType="begin"/>
      </w:r>
      <w:r>
        <w:rPr>
          <w:rStyle w:val="13"/>
        </w:rPr>
        <w:instrText xml:space="preserve"> </w:instrText>
      </w:r>
      <w:r>
        <w:instrText xml:space="preserve">HYPERLINK \l "_Toc119750210"</w:instrText>
      </w:r>
      <w:r>
        <w:rPr>
          <w:rStyle w:val="13"/>
        </w:rPr>
        <w:instrText xml:space="preserve"> </w:instrText>
      </w:r>
      <w:r>
        <w:rPr>
          <w:rStyle w:val="13"/>
        </w:rPr>
        <w:fldChar w:fldCharType="separate"/>
      </w:r>
      <w:r>
        <w:rPr>
          <w:rStyle w:val="13"/>
        </w:rPr>
        <w:t>8效益分析</w:t>
      </w:r>
      <w:r>
        <w:tab/>
      </w:r>
      <w:r>
        <w:fldChar w:fldCharType="begin"/>
      </w:r>
      <w:r>
        <w:instrText xml:space="preserve"> PAGEREF _Toc119750210 \h </w:instrText>
      </w:r>
      <w:r>
        <w:fldChar w:fldCharType="separate"/>
      </w:r>
      <w:r>
        <w:t>54</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"_Toc119750211"</w:instrText>
      </w:r>
      <w:r>
        <w:rPr>
          <w:rStyle w:val="13"/>
        </w:rPr>
        <w:instrText xml:space="preserve"> </w:instrText>
      </w:r>
      <w:r>
        <w:rPr>
          <w:rStyle w:val="13"/>
        </w:rPr>
        <w:fldChar w:fldCharType="separate"/>
      </w:r>
      <w:r>
        <w:rPr>
          <w:rStyle w:val="13"/>
        </w:rPr>
        <w:t>8.1经济效益</w:t>
      </w:r>
      <w:r>
        <w:tab/>
      </w:r>
      <w:r>
        <w:fldChar w:fldCharType="begin"/>
      </w:r>
      <w:r>
        <w:instrText xml:space="preserve"> PAGEREF _Toc119750211 \h </w:instrText>
      </w:r>
      <w:r>
        <w:fldChar w:fldCharType="separate"/>
      </w:r>
      <w:r>
        <w:t>54</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"_Toc119750212"</w:instrText>
      </w:r>
      <w:r>
        <w:rPr>
          <w:rStyle w:val="13"/>
        </w:rPr>
        <w:instrText xml:space="preserve"> </w:instrText>
      </w:r>
      <w:r>
        <w:rPr>
          <w:rStyle w:val="13"/>
        </w:rPr>
        <w:fldChar w:fldCharType="separate"/>
      </w:r>
      <w:r>
        <w:rPr>
          <w:rStyle w:val="13"/>
        </w:rPr>
        <w:t>8.2</w:t>
      </w:r>
      <w:r>
        <w:rPr>
          <w:rStyle w:val="13"/>
          <w:rFonts w:ascii="宋体" w:hAnsi="宋体"/>
        </w:rPr>
        <w:t>社会效益</w:t>
      </w:r>
      <w:r>
        <w:tab/>
      </w:r>
      <w:r>
        <w:fldChar w:fldCharType="begin"/>
      </w:r>
      <w:r>
        <w:instrText xml:space="preserve"> PAGEREF _Toc119750212 \h </w:instrText>
      </w:r>
      <w:r>
        <w:fldChar w:fldCharType="separate"/>
      </w:r>
      <w:r>
        <w:t>56</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"_Toc119750213"</w:instrText>
      </w:r>
      <w:r>
        <w:rPr>
          <w:rStyle w:val="13"/>
        </w:rPr>
        <w:instrText xml:space="preserve"> </w:instrText>
      </w:r>
      <w:r>
        <w:rPr>
          <w:rStyle w:val="13"/>
        </w:rPr>
        <w:fldChar w:fldCharType="separate"/>
      </w:r>
      <w:r>
        <w:rPr>
          <w:rStyle w:val="13"/>
        </w:rPr>
        <w:t>8.3</w:t>
      </w:r>
      <w:r>
        <w:rPr>
          <w:rStyle w:val="13"/>
          <w:rFonts w:ascii="宋体" w:hAnsi="宋体"/>
        </w:rPr>
        <w:t>生态效益</w:t>
      </w:r>
      <w:r>
        <w:tab/>
      </w:r>
      <w:r>
        <w:fldChar w:fldCharType="begin"/>
      </w:r>
      <w:r>
        <w:instrText xml:space="preserve"> PAGEREF _Toc119750213 \h </w:instrText>
      </w:r>
      <w:r>
        <w:fldChar w:fldCharType="separate"/>
      </w:r>
      <w:r>
        <w:t>56</w:t>
      </w:r>
      <w:r>
        <w:fldChar w:fldCharType="end"/>
      </w:r>
      <w:r>
        <w:rPr>
          <w:rStyle w:val="13"/>
        </w:rPr>
        <w:fldChar w:fldCharType="end"/>
      </w:r>
    </w:p>
    <w:p>
      <w:pPr>
        <w:pStyle w:val="8"/>
        <w:ind w:firstLine="643"/>
        <w:rPr>
          <w:rFonts w:ascii="等线" w:hAnsi="等线" w:eastAsia="等线" w:cs="Times New Roman"/>
          <w:b w:val="0"/>
          <w:bCs w:val="0"/>
          <w:snapToGrid/>
          <w:kern w:val="2"/>
          <w:sz w:val="21"/>
          <w:szCs w:val="22"/>
        </w:rPr>
      </w:pPr>
      <w:r>
        <w:rPr>
          <w:rStyle w:val="13"/>
        </w:rPr>
        <w:fldChar w:fldCharType="begin"/>
      </w:r>
      <w:r>
        <w:rPr>
          <w:rStyle w:val="13"/>
        </w:rPr>
        <w:instrText xml:space="preserve"> </w:instrText>
      </w:r>
      <w:r>
        <w:instrText xml:space="preserve">HYPERLINK \l "_Toc119750214"</w:instrText>
      </w:r>
      <w:r>
        <w:rPr>
          <w:rStyle w:val="13"/>
        </w:rPr>
        <w:instrText xml:space="preserve"> </w:instrText>
      </w:r>
      <w:r>
        <w:rPr>
          <w:rStyle w:val="13"/>
        </w:rPr>
        <w:fldChar w:fldCharType="separate"/>
      </w:r>
      <w:r>
        <w:rPr>
          <w:rStyle w:val="13"/>
        </w:rPr>
        <w:t>9实施保障</w:t>
      </w:r>
      <w:r>
        <w:tab/>
      </w:r>
      <w:r>
        <w:fldChar w:fldCharType="begin"/>
      </w:r>
      <w:r>
        <w:instrText xml:space="preserve"> PAGEREF _Toc119750214 \h </w:instrText>
      </w:r>
      <w:r>
        <w:fldChar w:fldCharType="separate"/>
      </w:r>
      <w:r>
        <w:t>57</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"_Toc119750215"</w:instrText>
      </w:r>
      <w:r>
        <w:rPr>
          <w:rStyle w:val="13"/>
        </w:rPr>
        <w:instrText xml:space="preserve"> </w:instrText>
      </w:r>
      <w:r>
        <w:rPr>
          <w:rStyle w:val="13"/>
        </w:rPr>
        <w:fldChar w:fldCharType="separate"/>
      </w:r>
      <w:r>
        <w:rPr>
          <w:rStyle w:val="13"/>
        </w:rPr>
        <w:t>9.1加强组织领导</w:t>
      </w:r>
      <w:r>
        <w:tab/>
      </w:r>
      <w:r>
        <w:fldChar w:fldCharType="begin"/>
      </w:r>
      <w:r>
        <w:instrText xml:space="preserve"> PAGEREF _Toc119750215 \h </w:instrText>
      </w:r>
      <w:r>
        <w:fldChar w:fldCharType="separate"/>
      </w:r>
      <w:r>
        <w:t>57</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"_Toc119750216"</w:instrText>
      </w:r>
      <w:r>
        <w:rPr>
          <w:rStyle w:val="13"/>
        </w:rPr>
        <w:instrText xml:space="preserve"> </w:instrText>
      </w:r>
      <w:r>
        <w:rPr>
          <w:rStyle w:val="13"/>
        </w:rPr>
        <w:fldChar w:fldCharType="separate"/>
      </w:r>
      <w:r>
        <w:rPr>
          <w:rStyle w:val="13"/>
        </w:rPr>
        <w:t>9.2推进规划指导</w:t>
      </w:r>
      <w:r>
        <w:tab/>
      </w:r>
      <w:r>
        <w:fldChar w:fldCharType="begin"/>
      </w:r>
      <w:r>
        <w:instrText xml:space="preserve"> PAGEREF _Toc119750216 \h </w:instrText>
      </w:r>
      <w:r>
        <w:fldChar w:fldCharType="separate"/>
      </w:r>
      <w:r>
        <w:t>57</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"_Toc119750217"</w:instrText>
      </w:r>
      <w:r>
        <w:rPr>
          <w:rStyle w:val="13"/>
        </w:rPr>
        <w:instrText xml:space="preserve"> </w:instrText>
      </w:r>
      <w:r>
        <w:rPr>
          <w:rStyle w:val="13"/>
        </w:rPr>
        <w:fldChar w:fldCharType="separate"/>
      </w:r>
      <w:r>
        <w:rPr>
          <w:rStyle w:val="13"/>
        </w:rPr>
        <w:t>9.3加强资金保障</w:t>
      </w:r>
      <w:r>
        <w:tab/>
      </w:r>
      <w:r>
        <w:fldChar w:fldCharType="begin"/>
      </w:r>
      <w:r>
        <w:instrText xml:space="preserve"> PAGEREF _Toc119750217 \h </w:instrText>
      </w:r>
      <w:r>
        <w:fldChar w:fldCharType="separate"/>
      </w:r>
      <w:r>
        <w:t>58</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"_Toc119750218"</w:instrText>
      </w:r>
      <w:r>
        <w:rPr>
          <w:rStyle w:val="13"/>
        </w:rPr>
        <w:instrText xml:space="preserve"> </w:instrText>
      </w:r>
      <w:r>
        <w:rPr>
          <w:rStyle w:val="13"/>
        </w:rPr>
        <w:fldChar w:fldCharType="separate"/>
      </w:r>
      <w:r>
        <w:rPr>
          <w:rStyle w:val="13"/>
        </w:rPr>
        <w:t>9.4加大科技支撑</w:t>
      </w:r>
      <w:r>
        <w:tab/>
      </w:r>
      <w:r>
        <w:fldChar w:fldCharType="begin"/>
      </w:r>
      <w:r>
        <w:instrText xml:space="preserve"> PAGEREF _Toc119750218 \h </w:instrText>
      </w:r>
      <w:r>
        <w:fldChar w:fldCharType="separate"/>
      </w:r>
      <w:r>
        <w:t>59</w:t>
      </w:r>
      <w:r>
        <w:fldChar w:fldCharType="end"/>
      </w:r>
      <w:r>
        <w:rPr>
          <w:rStyle w:val="13"/>
        </w:rPr>
        <w:fldChar w:fldCharType="end"/>
      </w:r>
    </w:p>
    <w:p>
      <w:pPr>
        <w:pStyle w:val="9"/>
        <w:tabs>
          <w:tab w:val="right" w:leader="dot" w:pos="8296"/>
        </w:tabs>
        <w:ind w:left="480" w:firstLine="480"/>
        <w:rPr>
          <w:rFonts w:ascii="等线" w:hAnsi="等线" w:eastAsia="等线"/>
          <w:snapToGrid/>
          <w:kern w:val="2"/>
          <w:sz w:val="21"/>
          <w:szCs w:val="22"/>
        </w:rPr>
      </w:pPr>
      <w:r>
        <w:rPr>
          <w:rStyle w:val="13"/>
        </w:rPr>
        <w:fldChar w:fldCharType="begin"/>
      </w:r>
      <w:r>
        <w:rPr>
          <w:rStyle w:val="13"/>
        </w:rPr>
        <w:instrText xml:space="preserve"> </w:instrText>
      </w:r>
      <w:r>
        <w:instrText xml:space="preserve">HYPERLINK \l "_Toc119750219"</w:instrText>
      </w:r>
      <w:r>
        <w:rPr>
          <w:rStyle w:val="13"/>
        </w:rPr>
        <w:instrText xml:space="preserve"> </w:instrText>
      </w:r>
      <w:r>
        <w:rPr>
          <w:rStyle w:val="13"/>
        </w:rPr>
        <w:fldChar w:fldCharType="separate"/>
      </w:r>
      <w:r>
        <w:rPr>
          <w:rStyle w:val="13"/>
        </w:rPr>
        <w:t>9.5严格监督考核</w:t>
      </w:r>
      <w:r>
        <w:tab/>
      </w:r>
      <w:r>
        <w:fldChar w:fldCharType="begin"/>
      </w:r>
      <w:r>
        <w:instrText xml:space="preserve"> PAGEREF _Toc119750219 \h </w:instrText>
      </w:r>
      <w:r>
        <w:fldChar w:fldCharType="separate"/>
      </w:r>
      <w:r>
        <w:t>60</w:t>
      </w:r>
      <w:r>
        <w:fldChar w:fldCharType="end"/>
      </w:r>
      <w:r>
        <w:rPr>
          <w:rStyle w:val="13"/>
        </w:rPr>
        <w:fldChar w:fldCharType="end"/>
      </w:r>
    </w:p>
    <w:p>
      <w:pPr>
        <w:ind w:firstLine="141" w:firstLineChars="44"/>
        <w:jc w:val="center"/>
        <w:rPr>
          <w:color w:val="000000"/>
        </w:rPr>
      </w:pPr>
      <w:r>
        <w:rPr>
          <w:rFonts w:ascii="宋体" w:hAnsi="宋体" w:cs="宋体"/>
          <w:b/>
          <w:bCs/>
          <w:color w:val="000000"/>
          <w:sz w:val="32"/>
          <w:szCs w:val="32"/>
        </w:rPr>
        <w:fldChar w:fldCharType="end"/>
      </w:r>
    </w:p>
    <w:p>
      <w:pPr>
        <w:pStyle w:val="9"/>
        <w:tabs>
          <w:tab w:val="right" w:leader="dot" w:pos="8296"/>
        </w:tabs>
        <w:ind w:left="480" w:firstLine="0" w:firstLineChars="0"/>
        <w:rPr>
          <w:color w:val="000000"/>
          <w:szCs w:val="24"/>
        </w:rPr>
      </w:pPr>
    </w:p>
    <w:bookmarkEnd w:id="1"/>
    <w:p>
      <w:pPr>
        <w:ind w:firstLine="0" w:firstLineChars="0"/>
        <w:rPr>
          <w:rFonts w:hint="eastAsia"/>
          <w:b/>
          <w:bCs/>
          <w:color w:val="000000"/>
          <w:szCs w:val="24"/>
        </w:rPr>
        <w:sectPr>
          <w:headerReference r:id="rId7" w:type="default"/>
          <w:footerReference r:id="rId8" w:type="default"/>
          <w:pgSz w:w="11906" w:h="16838"/>
          <w:pgMar w:top="1440" w:right="1800" w:bottom="1440" w:left="1800" w:header="851" w:footer="992" w:gutter="0"/>
          <w:pgNumType w:fmt="upperRoman" w:start="1"/>
          <w:cols w:space="720" w:num="1"/>
          <w:docGrid w:type="lines" w:linePitch="326" w:charSpace="0"/>
        </w:sectPr>
      </w:pPr>
    </w:p>
    <w:p>
      <w:pPr>
        <w:pStyle w:val="2"/>
        <w:rPr>
          <w:rFonts w:hint="eastAsia"/>
          <w:color w:val="000000"/>
        </w:rPr>
      </w:pPr>
      <w:bookmarkStart w:id="2" w:name="_Toc97667822"/>
      <w:bookmarkStart w:id="3" w:name="_Toc119750166"/>
      <w:r>
        <w:rPr>
          <w:color w:val="000000"/>
        </w:rPr>
        <w:t>1</w:t>
      </w:r>
      <w:r>
        <w:rPr>
          <w:rFonts w:hint="eastAsia"/>
          <w:color w:val="000000"/>
        </w:rPr>
        <w:t>镇赉县</w:t>
      </w:r>
      <w:bookmarkEnd w:id="2"/>
      <w:r>
        <w:rPr>
          <w:rFonts w:hint="eastAsia"/>
          <w:color w:val="000000"/>
        </w:rPr>
        <w:t>农业基本情况</w:t>
      </w:r>
      <w:bookmarkEnd w:id="3"/>
    </w:p>
    <w:p>
      <w:pPr>
        <w:pStyle w:val="3"/>
        <w:rPr>
          <w:rFonts w:hint="eastAsia"/>
          <w:color w:val="000000"/>
        </w:rPr>
      </w:pPr>
      <w:bookmarkStart w:id="4" w:name="_Toc97667823"/>
      <w:bookmarkStart w:id="5" w:name="_Toc119750167"/>
      <w:r>
        <w:rPr>
          <w:color w:val="000000"/>
        </w:rPr>
        <w:t>1.1</w:t>
      </w:r>
      <w:bookmarkEnd w:id="4"/>
      <w:r>
        <w:rPr>
          <w:rFonts w:hint="eastAsia"/>
          <w:color w:val="000000"/>
        </w:rPr>
        <w:t>社会经济情况</w:t>
      </w:r>
      <w:bookmarkEnd w:id="5"/>
    </w:p>
    <w:p>
      <w:pPr>
        <w:ind w:firstLine="480"/>
        <w:rPr>
          <w:color w:val="000000"/>
          <w:shd w:val="clear" w:color="auto" w:fill="FFFFFF"/>
        </w:rPr>
      </w:pPr>
      <w:r>
        <w:rPr>
          <w:color w:val="000000"/>
          <w:shd w:val="clear" w:color="auto" w:fill="FFFFFF"/>
        </w:rPr>
        <w:t>镇赉县位于吉林省西北部、白城市东北部，地理坐标为东经122°47′06.3′-124°04′33.7′，北纬45°28′14.3′-46°18′15.8′。县境东靠嫩江与黑龙江省杜尔伯特蒙古族自治县、肇源县隔江相望，西连内蒙古自治区科尔沁右翼前旗，北与黑龙江省泰来县、内蒙古自治区扎赉特旗接壤，南和西南分别与大安市、洮南市、洮北区为邻。</w:t>
      </w:r>
      <w:r>
        <w:rPr>
          <w:rFonts w:hint="eastAsia"/>
          <w:color w:val="000000"/>
          <w:shd w:val="clear" w:color="auto" w:fill="FFFFFF"/>
        </w:rPr>
        <w:t>镇赉县境内有图乌公路、齐双公路，境内平齐铁路、长白高铁和嫩丹、珲乌高速贯通交会，使镇赉融入了“长吉图（长春、吉林、图们江）开发开放先导区”“哈大齐（哈尔滨、大庆、齐齐哈尔）工业走廊”两小时经济圈、生活圈。</w:t>
      </w:r>
      <w:r>
        <w:rPr>
          <w:color w:val="000000"/>
          <w:shd w:val="clear" w:color="auto" w:fill="FFFFFF"/>
        </w:rPr>
        <w:t>截</w:t>
      </w:r>
      <w:r>
        <w:rPr>
          <w:rFonts w:hint="eastAsia"/>
          <w:color w:val="000000"/>
          <w:shd w:val="clear" w:color="auto" w:fill="FFFFFF"/>
        </w:rPr>
        <w:t>至</w:t>
      </w:r>
      <w:r>
        <w:rPr>
          <w:color w:val="000000"/>
          <w:shd w:val="clear" w:color="auto" w:fill="FFFFFF"/>
        </w:rPr>
        <w:t>2020年，镇赉县幅员面积4718.9平方公里，耕地面积346.06万亩，</w:t>
      </w:r>
      <w:r>
        <w:rPr>
          <w:rFonts w:hint="eastAsia"/>
          <w:color w:val="000000"/>
          <w:shd w:val="clear" w:color="auto" w:fill="FFFFFF"/>
        </w:rPr>
        <w:t>园地面积0</w:t>
      </w:r>
      <w:r>
        <w:rPr>
          <w:color w:val="000000"/>
          <w:shd w:val="clear" w:color="auto" w:fill="FFFFFF"/>
        </w:rPr>
        <w:t>.16</w:t>
      </w:r>
      <w:r>
        <w:rPr>
          <w:rFonts w:hint="eastAsia"/>
          <w:color w:val="000000"/>
          <w:shd w:val="clear" w:color="auto" w:fill="FFFFFF"/>
        </w:rPr>
        <w:t>万亩，</w:t>
      </w:r>
      <w:r>
        <w:rPr>
          <w:color w:val="000000"/>
          <w:shd w:val="clear" w:color="auto" w:fill="FFFFFF"/>
        </w:rPr>
        <w:t>林地面积55.17万亩</w:t>
      </w:r>
      <w:r>
        <w:rPr>
          <w:rFonts w:hint="eastAsia"/>
          <w:color w:val="000000"/>
          <w:shd w:val="clear" w:color="auto" w:fill="FFFFFF"/>
        </w:rPr>
        <w:t>，</w:t>
      </w:r>
      <w:r>
        <w:rPr>
          <w:color w:val="000000"/>
          <w:shd w:val="clear" w:color="auto" w:fill="FFFFFF"/>
        </w:rPr>
        <w:t>草</w:t>
      </w:r>
      <w:r>
        <w:rPr>
          <w:rFonts w:hint="eastAsia"/>
          <w:color w:val="000000"/>
          <w:shd w:val="clear" w:color="auto" w:fill="FFFFFF"/>
        </w:rPr>
        <w:t>地</w:t>
      </w:r>
      <w:r>
        <w:rPr>
          <w:color w:val="000000"/>
          <w:shd w:val="clear" w:color="auto" w:fill="FFFFFF"/>
        </w:rPr>
        <w:t>面积88.18万亩，</w:t>
      </w:r>
      <w:r>
        <w:rPr>
          <w:rFonts w:hint="eastAsia"/>
          <w:color w:val="000000"/>
          <w:shd w:val="clear" w:color="auto" w:fill="FFFFFF"/>
        </w:rPr>
        <w:t>商服用地面积1</w:t>
      </w:r>
      <w:r>
        <w:rPr>
          <w:color w:val="000000"/>
          <w:shd w:val="clear" w:color="auto" w:fill="FFFFFF"/>
        </w:rPr>
        <w:t>.20万亩</w:t>
      </w:r>
      <w:r>
        <w:rPr>
          <w:rFonts w:hint="eastAsia"/>
          <w:color w:val="000000"/>
          <w:shd w:val="clear" w:color="auto" w:fill="FFFFFF"/>
        </w:rPr>
        <w:t>，工矿仓储用地面积1</w:t>
      </w:r>
      <w:r>
        <w:rPr>
          <w:color w:val="000000"/>
          <w:shd w:val="clear" w:color="auto" w:fill="FFFFFF"/>
        </w:rPr>
        <w:t>.31万亩</w:t>
      </w:r>
      <w:r>
        <w:rPr>
          <w:rFonts w:hint="eastAsia"/>
          <w:color w:val="000000"/>
          <w:shd w:val="clear" w:color="auto" w:fill="FFFFFF"/>
        </w:rPr>
        <w:t>，住宅用地面积7</w:t>
      </w:r>
      <w:r>
        <w:rPr>
          <w:color w:val="000000"/>
          <w:shd w:val="clear" w:color="auto" w:fill="FFFFFF"/>
        </w:rPr>
        <w:t>.89万亩</w:t>
      </w:r>
      <w:r>
        <w:rPr>
          <w:rFonts w:hint="eastAsia"/>
          <w:color w:val="000000"/>
          <w:shd w:val="clear" w:color="auto" w:fill="FFFFFF"/>
        </w:rPr>
        <w:t>，公共管理公共服务用地面积0</w:t>
      </w:r>
      <w:r>
        <w:rPr>
          <w:color w:val="000000"/>
          <w:shd w:val="clear" w:color="auto" w:fill="FFFFFF"/>
        </w:rPr>
        <w:t>.80万亩</w:t>
      </w:r>
      <w:r>
        <w:rPr>
          <w:rFonts w:hint="eastAsia"/>
          <w:color w:val="000000"/>
          <w:shd w:val="clear" w:color="auto" w:fill="FFFFFF"/>
        </w:rPr>
        <w:t>，特殊用地面积0</w:t>
      </w:r>
      <w:r>
        <w:rPr>
          <w:color w:val="000000"/>
          <w:shd w:val="clear" w:color="auto" w:fill="FFFFFF"/>
        </w:rPr>
        <w:t>.36万亩</w:t>
      </w:r>
      <w:r>
        <w:rPr>
          <w:rFonts w:hint="eastAsia"/>
          <w:color w:val="000000"/>
          <w:shd w:val="clear" w:color="auto" w:fill="FFFFFF"/>
        </w:rPr>
        <w:t>，交通运输用地面积1</w:t>
      </w:r>
      <w:r>
        <w:rPr>
          <w:color w:val="000000"/>
          <w:shd w:val="clear" w:color="auto" w:fill="FFFFFF"/>
        </w:rPr>
        <w:t>3.97万亩</w:t>
      </w:r>
      <w:r>
        <w:rPr>
          <w:rFonts w:hint="eastAsia"/>
          <w:color w:val="000000"/>
          <w:shd w:val="clear" w:color="auto" w:fill="FFFFFF"/>
        </w:rPr>
        <w:t>，水域及水利设施用地面积1</w:t>
      </w:r>
      <w:r>
        <w:rPr>
          <w:color w:val="000000"/>
          <w:shd w:val="clear" w:color="auto" w:fill="FFFFFF"/>
        </w:rPr>
        <w:t>56.75万亩</w:t>
      </w:r>
      <w:r>
        <w:rPr>
          <w:rFonts w:hint="eastAsia"/>
          <w:color w:val="000000"/>
          <w:shd w:val="clear" w:color="auto" w:fill="FFFFFF"/>
        </w:rPr>
        <w:t>，其他土地面积3</w:t>
      </w:r>
      <w:r>
        <w:rPr>
          <w:color w:val="000000"/>
          <w:shd w:val="clear" w:color="auto" w:fill="FFFFFF"/>
        </w:rPr>
        <w:t>5.99万亩</w:t>
      </w:r>
      <w:r>
        <w:rPr>
          <w:rFonts w:hint="eastAsia"/>
          <w:color w:val="000000"/>
          <w:shd w:val="clear" w:color="auto" w:fill="FFFFFF"/>
        </w:rPr>
        <w:t>。</w:t>
      </w:r>
      <w:r>
        <w:rPr>
          <w:color w:val="000000"/>
          <w:shd w:val="clear" w:color="auto" w:fill="FFFFFF"/>
        </w:rPr>
        <w:t>镇赉县辖乡镇11个，其中镇7个，乡4个</w:t>
      </w:r>
      <w:r>
        <w:rPr>
          <w:rFonts w:hint="eastAsia"/>
          <w:color w:val="000000"/>
          <w:shd w:val="clear" w:color="auto" w:fill="FFFFFF"/>
        </w:rPr>
        <w:t>：</w:t>
      </w:r>
      <w:r>
        <w:rPr>
          <w:color w:val="000000"/>
          <w:shd w:val="clear" w:color="auto" w:fill="FFFFFF"/>
        </w:rPr>
        <w:t>镇赉镇、坦途镇、东屏镇、大屯镇、沿江镇、五棵树镇、黑鱼泡镇、哈吐气蒙古族乡、莫莫格蒙古族乡、建平乡、嘎什根乡，总人口26.3万，其中农业人口15.7万，占总人口59.7%。城镇人口10.6万，占全县总人口的40.3%，2019年人口自然增长率</w:t>
      </w:r>
      <w:r>
        <w:rPr>
          <w:rFonts w:hint="eastAsia"/>
          <w:color w:val="000000"/>
          <w:shd w:val="clear" w:color="auto" w:fill="FFFFFF"/>
        </w:rPr>
        <w:t>为</w:t>
      </w:r>
      <w:r>
        <w:rPr>
          <w:color w:val="000000"/>
          <w:shd w:val="clear" w:color="auto" w:fill="FFFFFF"/>
        </w:rPr>
        <w:t>-1.2‰。</w:t>
      </w:r>
    </w:p>
    <w:p>
      <w:pPr>
        <w:ind w:firstLine="480"/>
        <w:rPr>
          <w:snapToGrid/>
          <w:color w:val="000000"/>
        </w:rPr>
      </w:pPr>
      <w:r>
        <w:rPr>
          <w:rFonts w:hint="eastAsia"/>
          <w:color w:val="000000"/>
        </w:rPr>
        <w:t>全县已探明石油储量2.7亿吨。原油可开采量1.5亿吨。已探明油砂储量1.04亿吨。天然气总资源量2700亿立方米。全县可开发风电场400平方公里，可装机容量210万千瓦，属三类风场。当地年均日照时数2892小时，年太阳辐射总量124.71千卡/平方厘米，日照时数、辐射量居全省前列，适宜建设太阳能发电场面积400平方公里。镇赉县有鸟类17目50科298种，野生兽类4目11科29种，鱼类4目11科52种。全世界有鹤类15种，莫莫格保护区有7种，分别为白鹤、丹顶鹤、白头鹤、沙丘鹤、白枕鹤、灰鹤、蓑羽鹤。</w:t>
      </w:r>
    </w:p>
    <w:p>
      <w:pPr>
        <w:ind w:firstLine="480"/>
        <w:rPr>
          <w:rFonts w:hint="eastAsia"/>
          <w:snapToGrid/>
          <w:color w:val="000000"/>
        </w:rPr>
      </w:pPr>
      <w:r>
        <w:rPr>
          <w:rFonts w:hint="eastAsia"/>
          <w:snapToGrid/>
          <w:color w:val="000000"/>
        </w:rPr>
        <w:t>2</w:t>
      </w:r>
      <w:r>
        <w:rPr>
          <w:snapToGrid/>
          <w:color w:val="000000"/>
        </w:rPr>
        <w:t>005</w:t>
      </w:r>
      <w:r>
        <w:rPr>
          <w:rFonts w:hint="eastAsia"/>
          <w:snapToGrid/>
          <w:color w:val="000000"/>
        </w:rPr>
        <w:t>年底莫莫格国家级自然保护区被评为国家4A级自然保护区，2010年11月，中国野生动物保护协会授予镇赉县"中国白鹤之乡"荣誉称号。</w:t>
      </w:r>
    </w:p>
    <w:p>
      <w:pPr>
        <w:ind w:firstLine="480"/>
        <w:rPr>
          <w:color w:val="000000"/>
          <w:shd w:val="clear" w:color="auto" w:fill="FFFFFF"/>
        </w:rPr>
      </w:pPr>
      <w:r>
        <w:rPr>
          <w:rFonts w:hint="eastAsia"/>
          <w:color w:val="000000"/>
          <w:shd w:val="clear" w:color="auto" w:fill="FFFFFF"/>
        </w:rPr>
        <w:t>20</w:t>
      </w:r>
      <w:r>
        <w:rPr>
          <w:color w:val="000000"/>
          <w:shd w:val="clear" w:color="auto" w:fill="FFFFFF"/>
        </w:rPr>
        <w:t>19</w:t>
      </w:r>
      <w:r>
        <w:rPr>
          <w:rFonts w:hint="eastAsia"/>
          <w:color w:val="000000"/>
          <w:shd w:val="clear" w:color="auto" w:fill="FFFFFF"/>
        </w:rPr>
        <w:t>年，全年实现地区生产总值</w:t>
      </w:r>
      <w:r>
        <w:rPr>
          <w:color w:val="000000"/>
          <w:shd w:val="clear" w:color="auto" w:fill="FFFFFF"/>
        </w:rPr>
        <w:t>14.27</w:t>
      </w:r>
      <w:r>
        <w:rPr>
          <w:rFonts w:hint="eastAsia"/>
          <w:color w:val="000000"/>
          <w:shd w:val="clear" w:color="auto" w:fill="FFFFFF"/>
        </w:rPr>
        <w:t>亿元、全口径财政收入8.</w:t>
      </w:r>
      <w:r>
        <w:rPr>
          <w:color w:val="000000"/>
          <w:shd w:val="clear" w:color="auto" w:fill="FFFFFF"/>
        </w:rPr>
        <w:t>5</w:t>
      </w:r>
      <w:r>
        <w:rPr>
          <w:rFonts w:hint="eastAsia"/>
          <w:color w:val="000000"/>
          <w:shd w:val="clear" w:color="auto" w:fill="FFFFFF"/>
        </w:rPr>
        <w:t>2亿元、地方级财政收入5.</w:t>
      </w:r>
      <w:r>
        <w:rPr>
          <w:color w:val="000000"/>
          <w:shd w:val="clear" w:color="auto" w:fill="FFFFFF"/>
        </w:rPr>
        <w:t>75</w:t>
      </w:r>
      <w:r>
        <w:rPr>
          <w:rFonts w:hint="eastAsia"/>
          <w:color w:val="000000"/>
          <w:shd w:val="clear" w:color="auto" w:fill="FFFFFF"/>
        </w:rPr>
        <w:t>亿元、社会消费品零售总额</w:t>
      </w:r>
      <w:r>
        <w:rPr>
          <w:color w:val="000000"/>
          <w:shd w:val="clear" w:color="auto" w:fill="FFFFFF"/>
        </w:rPr>
        <w:t>39.9</w:t>
      </w:r>
      <w:r>
        <w:rPr>
          <w:rFonts w:hint="eastAsia"/>
          <w:color w:val="000000"/>
          <w:shd w:val="clear" w:color="auto" w:fill="FFFFFF"/>
        </w:rPr>
        <w:t>亿元、固定资产投资</w:t>
      </w:r>
      <w:r>
        <w:rPr>
          <w:color w:val="000000"/>
          <w:shd w:val="clear" w:color="auto" w:fill="FFFFFF"/>
        </w:rPr>
        <w:t>53.2</w:t>
      </w:r>
      <w:r>
        <w:rPr>
          <w:rFonts w:hint="eastAsia"/>
          <w:color w:val="000000"/>
          <w:shd w:val="clear" w:color="auto" w:fill="FFFFFF"/>
        </w:rPr>
        <w:t>亿元，城镇、农村常住居民人均可支配收入分别达到2</w:t>
      </w:r>
      <w:r>
        <w:rPr>
          <w:color w:val="000000"/>
          <w:shd w:val="clear" w:color="auto" w:fill="FFFFFF"/>
        </w:rPr>
        <w:t>4599</w:t>
      </w:r>
      <w:r>
        <w:rPr>
          <w:rFonts w:hint="eastAsia"/>
          <w:color w:val="000000"/>
          <w:shd w:val="clear" w:color="auto" w:fill="FFFFFF"/>
        </w:rPr>
        <w:t>元和</w:t>
      </w:r>
      <w:r>
        <w:rPr>
          <w:color w:val="000000"/>
          <w:shd w:val="clear" w:color="auto" w:fill="FFFFFF"/>
        </w:rPr>
        <w:t>11203</w:t>
      </w:r>
      <w:r>
        <w:rPr>
          <w:rFonts w:hint="eastAsia"/>
          <w:color w:val="000000"/>
          <w:shd w:val="clear" w:color="auto" w:fill="FFFFFF"/>
        </w:rPr>
        <w:t>元。</w:t>
      </w:r>
    </w:p>
    <w:p>
      <w:pPr>
        <w:pStyle w:val="3"/>
        <w:rPr>
          <w:color w:val="000000"/>
        </w:rPr>
      </w:pPr>
      <w:bookmarkStart w:id="6" w:name="_Toc97667828"/>
      <w:bookmarkStart w:id="7" w:name="_Toc119750168"/>
      <w:r>
        <w:rPr>
          <w:color w:val="000000"/>
        </w:rPr>
        <w:t>1.2</w:t>
      </w:r>
      <w:bookmarkEnd w:id="6"/>
      <w:r>
        <w:rPr>
          <w:rFonts w:hint="eastAsia"/>
          <w:color w:val="000000"/>
        </w:rPr>
        <w:t>气候条件</w:t>
      </w:r>
      <w:bookmarkEnd w:id="7"/>
    </w:p>
    <w:p>
      <w:pPr>
        <w:spacing w:after="3"/>
        <w:ind w:left="2" w:right="2" w:firstLine="480"/>
        <w:rPr>
          <w:color w:val="000000"/>
        </w:rPr>
      </w:pPr>
      <w:bookmarkStart w:id="8" w:name="_Hlk104453776"/>
      <w:r>
        <w:rPr>
          <w:rFonts w:hint="eastAsia"/>
          <w:color w:val="000000"/>
        </w:rPr>
        <w:t>镇赉县位于吉林省的西北部，流域地处中纬度区欧亚大陆东缘，在全国气候区划中属于北温带半干旱大陆性季风气候区，受大气环流的影响，在冷暖气团交替控制之下，四季气候变化十分明显。其特点是：春季干燥多风沙，升温迅速； 夏季炎热少雨，秋季天高气爽，日温差大；冬季严寒漫长少雪。一年中寒暑温差较大，春秋两季短促，冬季受西北季风影响，流域地处西伯利亚大陆气团控制之下，气候寒冷。日平均气温低于零度时间一般从每年的 11 月上旬到翌年的 3 月下旬，长达五个月之久。以镇赉气象站特征值统计为例，多年平均气温 4.5℃，1 月份最冷，月平均气温-17.4℃。多年平均风速为 3.4m/s，最大风速为 34.0m/s。多年平均日照时数为 2906.2h。降水量年内分布不均。春播期（3~ 5月）约占年平均降水量的13.8%; 汛期（6 - 9月）约占年平均降水量的82.9%，其中8月份约占年平均降水量的28.5%。</w:t>
      </w:r>
    </w:p>
    <w:bookmarkEnd w:id="8"/>
    <w:p>
      <w:pPr>
        <w:pStyle w:val="3"/>
        <w:rPr>
          <w:color w:val="000000"/>
        </w:rPr>
      </w:pPr>
      <w:bookmarkStart w:id="9" w:name="_Toc119750169"/>
      <w:r>
        <w:rPr>
          <w:color w:val="000000"/>
        </w:rPr>
        <w:t>1.3</w:t>
      </w:r>
      <w:r>
        <w:rPr>
          <w:rFonts w:hint="eastAsia"/>
          <w:color w:val="000000"/>
        </w:rPr>
        <w:t>水资源及利用</w:t>
      </w:r>
      <w:bookmarkEnd w:id="9"/>
    </w:p>
    <w:p>
      <w:pPr>
        <w:pStyle w:val="4"/>
        <w:rPr>
          <w:color w:val="000000"/>
        </w:rPr>
      </w:pPr>
      <w:r>
        <w:rPr>
          <w:color w:val="000000"/>
        </w:rPr>
        <w:t>1.3.1</w:t>
      </w:r>
      <w:r>
        <w:rPr>
          <w:rFonts w:hint="eastAsia"/>
          <w:color w:val="000000"/>
        </w:rPr>
        <w:t>可供水量</w:t>
      </w:r>
    </w:p>
    <w:p>
      <w:pPr>
        <w:ind w:firstLine="480"/>
        <w:rPr>
          <w:color w:val="000000"/>
        </w:rPr>
      </w:pPr>
      <w:r>
        <w:rPr>
          <w:rFonts w:hint="eastAsia"/>
          <w:color w:val="000000"/>
        </w:rPr>
        <w:t>镇赉县境内有“一江三河”流经，嫩江流经境内111.5千米，流域面积1861平方千米，年过境水量218.3亿立方米。洮儿河、呼尔达河、二龙涛河穿境而过。截至2020年，镇赉县年平均降水量402mm, 镇赉县地表水资源蕴藏量107.06亿立方米，地下水资源蕴藏量3.77亿立方米，其中地下水年可开采资源量2.76亿立方米。水面面积1.8万公顷，其中可养殖面积1.6万公顷。</w:t>
      </w:r>
    </w:p>
    <w:p>
      <w:pPr>
        <w:pStyle w:val="4"/>
        <w:rPr>
          <w:color w:val="000000"/>
        </w:rPr>
      </w:pPr>
      <w:r>
        <w:rPr>
          <w:color w:val="000000"/>
        </w:rPr>
        <w:t>1.3.2</w:t>
      </w:r>
      <w:r>
        <w:rPr>
          <w:rFonts w:hint="eastAsia"/>
          <w:color w:val="000000"/>
        </w:rPr>
        <w:t>现状需水量</w:t>
      </w:r>
    </w:p>
    <w:p>
      <w:pPr>
        <w:ind w:firstLine="480"/>
        <w:rPr>
          <w:rFonts w:hint="eastAsia"/>
          <w:color w:val="000000"/>
        </w:rPr>
      </w:pPr>
      <w:r>
        <w:rPr>
          <w:rFonts w:hint="eastAsia"/>
          <w:color w:val="000000"/>
        </w:rPr>
        <w:t>根据《白城市2</w:t>
      </w:r>
      <w:r>
        <w:rPr>
          <w:color w:val="000000"/>
        </w:rPr>
        <w:t>02</w:t>
      </w:r>
      <w:r>
        <w:rPr>
          <w:rFonts w:hint="eastAsia"/>
          <w:color w:val="000000"/>
        </w:rPr>
        <w:t>0年水资源公报》，镇赉县用水量主要集中在农业灌溉、林牧渔畜用水、工业用水、城镇公共用水、居民生活用水、生态环境用水量六个方面，其中农业灌溉用水量51292万立方米，林牧渔畜用水量1388万立方米，工业用水量357万立方米，城镇公共用水量92万立方米，居民生活用水量557万立方米，生态环境用水量16449万立方米，总用水量70135万立方米。</w:t>
      </w:r>
    </w:p>
    <w:p>
      <w:pPr>
        <w:ind w:firstLine="0" w:firstLineChars="0"/>
        <w:rPr>
          <w:rFonts w:hint="eastAsia"/>
          <w:b/>
          <w:bCs/>
          <w:color w:val="000000"/>
        </w:rPr>
      </w:pPr>
      <w:r>
        <w:rPr>
          <w:rFonts w:hint="eastAsia"/>
          <w:b/>
          <w:bCs/>
          <w:color w:val="000000"/>
        </w:rPr>
        <w:t>表1</w:t>
      </w:r>
      <w:r>
        <w:rPr>
          <w:b/>
          <w:bCs/>
          <w:color w:val="000000"/>
        </w:rPr>
        <w:t xml:space="preserve">.3.2-1            </w:t>
      </w:r>
      <w:r>
        <w:rPr>
          <w:rFonts w:hint="eastAsia"/>
          <w:b/>
          <w:bCs/>
          <w:color w:val="000000"/>
        </w:rPr>
        <w:t xml:space="preserve"> </w:t>
      </w:r>
      <w:r>
        <w:rPr>
          <w:b/>
          <w:bCs/>
          <w:color w:val="000000"/>
        </w:rPr>
        <w:t xml:space="preserve"> </w:t>
      </w:r>
      <w:r>
        <w:rPr>
          <w:rFonts w:hint="eastAsia"/>
          <w:b/>
          <w:bCs/>
          <w:color w:val="000000"/>
        </w:rPr>
        <w:t xml:space="preserve">镇赉县水资源开发利用统计表 </w:t>
      </w:r>
      <w:r>
        <w:rPr>
          <w:b/>
          <w:bCs/>
          <w:color w:val="000000"/>
        </w:rPr>
        <w:t xml:space="preserve">    </w:t>
      </w:r>
      <w:r>
        <w:rPr>
          <w:rFonts w:hint="eastAsia"/>
          <w:b/>
          <w:bCs/>
          <w:color w:val="000000"/>
        </w:rPr>
        <w:t xml:space="preserve">     </w:t>
      </w:r>
      <w:r>
        <w:rPr>
          <w:b/>
          <w:bCs/>
          <w:color w:val="000000"/>
        </w:rPr>
        <w:t xml:space="preserve"> </w:t>
      </w:r>
      <w:r>
        <w:rPr>
          <w:rFonts w:hint="eastAsia"/>
          <w:b/>
          <w:bCs/>
          <w:color w:val="000000"/>
        </w:rPr>
        <w:t>单位：万立方米</w:t>
      </w:r>
    </w:p>
    <w:tbl>
      <w:tblPr>
        <w:tblStyle w:val="1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62"/>
        <w:gridCol w:w="1161"/>
        <w:gridCol w:w="1146"/>
        <w:gridCol w:w="1294"/>
        <w:gridCol w:w="1107"/>
        <w:gridCol w:w="1212"/>
        <w:gridCol w:w="1199"/>
        <w:gridCol w:w="10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7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644"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农田灌溉用水量</w:t>
            </w:r>
          </w:p>
        </w:tc>
        <w:tc>
          <w:tcPr>
            <w:tcW w:w="6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林牧</w:t>
            </w:r>
            <w:r>
              <w:rPr>
                <w:rFonts w:hint="eastAsia" w:ascii="宋体" w:hAnsi="宋体" w:cs="宋体"/>
                <w:snapToGrid/>
                <w:color w:val="000000"/>
                <w:sz w:val="21"/>
                <w:szCs w:val="21"/>
                <w:lang w:eastAsia="zh-CN"/>
              </w:rPr>
              <w:t>渔</w:t>
            </w:r>
            <w:r>
              <w:rPr>
                <w:rFonts w:hint="eastAsia" w:ascii="宋体" w:hAnsi="宋体" w:cs="宋体"/>
                <w:snapToGrid/>
                <w:color w:val="000000"/>
                <w:sz w:val="21"/>
                <w:szCs w:val="21"/>
              </w:rPr>
              <w:t>畜用水量</w:t>
            </w:r>
          </w:p>
        </w:tc>
        <w:tc>
          <w:tcPr>
            <w:tcW w:w="7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工业用水量</w:t>
            </w:r>
          </w:p>
        </w:tc>
        <w:tc>
          <w:tcPr>
            <w:tcW w:w="614"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城镇公共用水量</w:t>
            </w:r>
          </w:p>
        </w:tc>
        <w:tc>
          <w:tcPr>
            <w:tcW w:w="673"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居民生活用水量</w:t>
            </w:r>
          </w:p>
        </w:tc>
        <w:tc>
          <w:tcPr>
            <w:tcW w:w="66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生态环境用水量</w:t>
            </w:r>
          </w:p>
        </w:tc>
        <w:tc>
          <w:tcPr>
            <w:tcW w:w="56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478"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地表水</w:t>
            </w:r>
          </w:p>
        </w:tc>
        <w:tc>
          <w:tcPr>
            <w:tcW w:w="644"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43010</w:t>
            </w:r>
          </w:p>
        </w:tc>
        <w:tc>
          <w:tcPr>
            <w:tcW w:w="636"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450</w:t>
            </w:r>
          </w:p>
        </w:tc>
        <w:tc>
          <w:tcPr>
            <w:tcW w:w="718"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w:t>
            </w:r>
          </w:p>
        </w:tc>
        <w:tc>
          <w:tcPr>
            <w:tcW w:w="614"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w:t>
            </w:r>
          </w:p>
        </w:tc>
        <w:tc>
          <w:tcPr>
            <w:tcW w:w="673"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w:t>
            </w:r>
          </w:p>
        </w:tc>
        <w:tc>
          <w:tcPr>
            <w:tcW w:w="666"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16445</w:t>
            </w:r>
          </w:p>
        </w:tc>
        <w:tc>
          <w:tcPr>
            <w:tcW w:w="568"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59905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478"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地下水</w:t>
            </w:r>
          </w:p>
        </w:tc>
        <w:tc>
          <w:tcPr>
            <w:tcW w:w="644"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8282</w:t>
            </w:r>
          </w:p>
        </w:tc>
        <w:tc>
          <w:tcPr>
            <w:tcW w:w="636"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938</w:t>
            </w:r>
          </w:p>
        </w:tc>
        <w:tc>
          <w:tcPr>
            <w:tcW w:w="718"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357</w:t>
            </w:r>
          </w:p>
        </w:tc>
        <w:tc>
          <w:tcPr>
            <w:tcW w:w="614"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92</w:t>
            </w:r>
          </w:p>
        </w:tc>
        <w:tc>
          <w:tcPr>
            <w:tcW w:w="673"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557</w:t>
            </w:r>
          </w:p>
        </w:tc>
        <w:tc>
          <w:tcPr>
            <w:tcW w:w="666"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4</w:t>
            </w:r>
          </w:p>
        </w:tc>
        <w:tc>
          <w:tcPr>
            <w:tcW w:w="568"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10230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478"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合计</w:t>
            </w:r>
          </w:p>
        </w:tc>
        <w:tc>
          <w:tcPr>
            <w:tcW w:w="644"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51292</w:t>
            </w:r>
          </w:p>
        </w:tc>
        <w:tc>
          <w:tcPr>
            <w:tcW w:w="636"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1388</w:t>
            </w:r>
          </w:p>
        </w:tc>
        <w:tc>
          <w:tcPr>
            <w:tcW w:w="718"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357</w:t>
            </w:r>
          </w:p>
        </w:tc>
        <w:tc>
          <w:tcPr>
            <w:tcW w:w="614"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92</w:t>
            </w:r>
          </w:p>
        </w:tc>
        <w:tc>
          <w:tcPr>
            <w:tcW w:w="673"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557</w:t>
            </w:r>
          </w:p>
        </w:tc>
        <w:tc>
          <w:tcPr>
            <w:tcW w:w="666"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16449</w:t>
            </w:r>
          </w:p>
        </w:tc>
        <w:tc>
          <w:tcPr>
            <w:tcW w:w="568"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70135</w:t>
            </w:r>
          </w:p>
        </w:tc>
      </w:tr>
    </w:tbl>
    <w:p>
      <w:pPr>
        <w:ind w:firstLine="480"/>
        <w:rPr>
          <w:rFonts w:hint="eastAsia"/>
          <w:color w:val="000000"/>
        </w:rPr>
      </w:pPr>
    </w:p>
    <w:p>
      <w:pPr>
        <w:ind w:firstLine="480"/>
        <w:rPr>
          <w:rFonts w:hint="eastAsia"/>
          <w:color w:val="000000"/>
        </w:rPr>
      </w:pPr>
    </w:p>
    <w:p>
      <w:pPr>
        <w:pStyle w:val="3"/>
        <w:rPr>
          <w:color w:val="000000"/>
        </w:rPr>
      </w:pPr>
      <w:bookmarkStart w:id="10" w:name="_Toc119750170"/>
      <w:r>
        <w:rPr>
          <w:color w:val="000000"/>
        </w:rPr>
        <w:t>1.4</w:t>
      </w:r>
      <w:r>
        <w:rPr>
          <w:rFonts w:hint="eastAsia"/>
          <w:color w:val="000000"/>
        </w:rPr>
        <w:t>地形、地貌、地质</w:t>
      </w:r>
      <w:bookmarkEnd w:id="10"/>
    </w:p>
    <w:p>
      <w:pPr>
        <w:pStyle w:val="4"/>
        <w:rPr>
          <w:color w:val="000000"/>
        </w:rPr>
      </w:pPr>
      <w:r>
        <w:rPr>
          <w:color w:val="000000"/>
        </w:rPr>
        <w:t>1.4.1</w:t>
      </w:r>
      <w:r>
        <w:rPr>
          <w:rFonts w:hint="eastAsia"/>
          <w:color w:val="000000"/>
        </w:rPr>
        <w:t>地形地貌</w:t>
      </w:r>
    </w:p>
    <w:p>
      <w:pPr>
        <w:spacing w:after="3"/>
        <w:ind w:left="2" w:right="2" w:firstLine="480"/>
        <w:rPr>
          <w:color w:val="000000"/>
        </w:rPr>
      </w:pPr>
      <w:r>
        <w:rPr>
          <w:rFonts w:hint="eastAsia"/>
          <w:color w:val="000000"/>
        </w:rPr>
        <w:t>本区位于松辽平原中西部地区，地势总体东南高，西北低，地面标高一般为131.0～155.0m。地貌类型按成因类型为堆积地形；按成因形态可分为冲积平原、河谷平原；按形态单元主要有微波状岗地、河漫滩及风积地貌。</w:t>
      </w:r>
    </w:p>
    <w:p>
      <w:pPr>
        <w:spacing w:after="3"/>
        <w:ind w:left="2" w:right="2" w:firstLine="480"/>
        <w:rPr>
          <w:rFonts w:hint="eastAsia"/>
          <w:color w:val="000000"/>
        </w:rPr>
      </w:pPr>
      <w:r>
        <w:rPr>
          <w:rFonts w:hint="eastAsia"/>
          <w:color w:val="000000"/>
        </w:rPr>
        <w:t>区内地层出露不全，主要有中生界、新生界。自中生界以来，沉积了巨厚粘土岩、碎屑岩层和第四系松散堆积层。</w:t>
      </w:r>
    </w:p>
    <w:p>
      <w:pPr>
        <w:spacing w:after="3"/>
        <w:ind w:left="2" w:right="2" w:firstLine="480"/>
        <w:rPr>
          <w:rFonts w:hint="eastAsia"/>
          <w:color w:val="000000"/>
        </w:rPr>
      </w:pPr>
      <w:r>
        <w:rPr>
          <w:rFonts w:hint="eastAsia"/>
          <w:color w:val="000000"/>
        </w:rPr>
        <w:t>地表出露地层主要由第四系全新统风积堆积层、冲积堆积层；第四系上更新统顾乡屯组冲积堆积层；第四系中更新统大青沟组湖积层；第四系下更新统白土山组冰水堆积层。基岩为上第三系太康组泥岩、砂岩和砂砾岩；大安组泥岩、砂岩和砂砾岩及白垩系下统嫩江组、姚家组的泥岩、砂岩和油页岩。工作区及近场区范围内上部岩性为第四系全新统风积堆积砂壤土，第四系全新统冲积堆积粘土、壤土，第四系上更新统顾乡屯组黄土状粘土、黄土状壤土、黄土状砂壤土、细砂，下部岩性为第四系中更新统大青沟组湖积层粘土、细砂。</w:t>
      </w:r>
    </w:p>
    <w:p>
      <w:pPr>
        <w:spacing w:after="3"/>
        <w:ind w:left="2" w:right="2" w:firstLine="480"/>
        <w:rPr>
          <w:rFonts w:hint="eastAsia"/>
          <w:color w:val="000000"/>
        </w:rPr>
      </w:pPr>
      <w:r>
        <w:rPr>
          <w:rFonts w:hint="eastAsia"/>
          <w:color w:val="000000"/>
        </w:rPr>
        <w:t>本区大地构造环境为天山～阴山构造带的吉黑褶皱系（Ⅰ）～松辽断块拗陷带（Ⅱ）～中央拗陷带（Ⅲ12）与东南隆起区（Ⅲ13）。</w:t>
      </w:r>
    </w:p>
    <w:p>
      <w:pPr>
        <w:spacing w:after="3"/>
        <w:ind w:left="2" w:right="2" w:firstLine="480"/>
        <w:rPr>
          <w:rFonts w:hint="eastAsia"/>
          <w:color w:val="000000"/>
        </w:rPr>
      </w:pPr>
      <w:r>
        <w:rPr>
          <w:rFonts w:hint="eastAsia"/>
          <w:color w:val="000000"/>
        </w:rPr>
        <w:t>本区新构造运动表现总体为地壳升降运动为主。并且对老构造有明显的继承性及差异性。本区历史地震无中强震，小震也很少。</w:t>
      </w:r>
    </w:p>
    <w:p>
      <w:pPr>
        <w:spacing w:after="3"/>
        <w:ind w:left="2" w:right="2" w:firstLine="480"/>
        <w:rPr>
          <w:rFonts w:hint="eastAsia"/>
          <w:color w:val="000000"/>
        </w:rPr>
      </w:pPr>
      <w:r>
        <w:rPr>
          <w:rFonts w:hint="eastAsia"/>
          <w:color w:val="000000"/>
        </w:rPr>
        <w:t>据《中国地震动参数区划图（GB18306-2015）》：本区基本地震动峰值加速度为0.05g，相应的地震基本烈度为6度区。</w:t>
      </w:r>
    </w:p>
    <w:p>
      <w:pPr>
        <w:spacing w:after="3"/>
        <w:ind w:left="2" w:right="2" w:firstLine="480"/>
        <w:rPr>
          <w:rFonts w:hint="eastAsia"/>
          <w:color w:val="000000"/>
        </w:rPr>
      </w:pPr>
      <w:r>
        <w:rPr>
          <w:rFonts w:hint="eastAsia"/>
          <w:color w:val="000000"/>
        </w:rPr>
        <w:t>地震动反应谱特征周期为0.35s。</w:t>
      </w:r>
    </w:p>
    <w:p>
      <w:pPr>
        <w:spacing w:after="3"/>
        <w:ind w:left="2" w:right="2" w:firstLine="480"/>
        <w:rPr>
          <w:rFonts w:hint="eastAsia"/>
          <w:color w:val="000000"/>
        </w:rPr>
      </w:pPr>
      <w:r>
        <w:rPr>
          <w:rFonts w:hint="eastAsia"/>
          <w:color w:val="000000"/>
        </w:rPr>
        <w:t>据《建筑地基基础设计规范（GB50007-2011）》，中国季节性冻土标准冻深线图，查得工程区标准冻土深度为2.00m。</w:t>
      </w:r>
    </w:p>
    <w:p>
      <w:pPr>
        <w:spacing w:after="3"/>
        <w:ind w:left="2" w:right="2" w:firstLine="480"/>
        <w:rPr>
          <w:rFonts w:hint="eastAsia"/>
          <w:color w:val="000000"/>
        </w:rPr>
      </w:pPr>
      <w:r>
        <w:rPr>
          <w:rFonts w:hint="eastAsia"/>
          <w:color w:val="000000"/>
        </w:rPr>
        <w:t>本区地处松嫩平原，埋藏有多层地下水。按地下水类型可分为上层滞水及第四系松散岩层孔隙潜水。</w:t>
      </w:r>
    </w:p>
    <w:p>
      <w:pPr>
        <w:spacing w:after="3"/>
        <w:ind w:left="2" w:right="2" w:firstLine="480"/>
        <w:rPr>
          <w:rFonts w:hint="eastAsia"/>
          <w:color w:val="000000"/>
        </w:rPr>
      </w:pPr>
      <w:r>
        <w:rPr>
          <w:rFonts w:hint="eastAsia"/>
          <w:color w:val="000000"/>
        </w:rPr>
        <w:t>上层滞水主要赋存于第四系冲积堆积的粘性土层中，地下水埋深1.0～8.0m，主要接受大气降水补给，水量有限，埋深受季节性影响较大。</w:t>
      </w:r>
    </w:p>
    <w:p>
      <w:pPr>
        <w:spacing w:after="3"/>
        <w:ind w:left="2" w:right="2" w:firstLine="480"/>
        <w:rPr>
          <w:rFonts w:hint="eastAsia"/>
          <w:color w:val="000000"/>
        </w:rPr>
      </w:pPr>
      <w:r>
        <w:rPr>
          <w:rFonts w:hint="eastAsia"/>
          <w:color w:val="000000"/>
        </w:rPr>
        <w:t>第四系松散岩层孔隙潜水主要赋存于第四系全新统冲积堆积的细砂及第四系中更新统的细砂中。埋深较大，一般为3.0～8.0m。主要接受大气降水补给及上层和侧向径流补给。水量不大，微具有承压性。</w:t>
      </w:r>
    </w:p>
    <w:p>
      <w:pPr>
        <w:spacing w:after="3"/>
        <w:ind w:left="2" w:right="2" w:firstLine="480"/>
        <w:rPr>
          <w:color w:val="000000"/>
        </w:rPr>
      </w:pPr>
      <w:r>
        <w:rPr>
          <w:rFonts w:hint="eastAsia"/>
          <w:color w:val="000000"/>
        </w:rPr>
        <w:t>本区地下水以降水入渗补给为主，地下水的侧向径流补给次之。人工取水形式排出地表及进入地下径流。</w:t>
      </w:r>
    </w:p>
    <w:p>
      <w:pPr>
        <w:pStyle w:val="4"/>
        <w:rPr>
          <w:color w:val="000000"/>
        </w:rPr>
      </w:pPr>
      <w:r>
        <w:rPr>
          <w:color w:val="000000"/>
        </w:rPr>
        <w:t>1.4.2</w:t>
      </w:r>
      <w:r>
        <w:rPr>
          <w:rFonts w:hint="eastAsia"/>
          <w:color w:val="000000"/>
        </w:rPr>
        <w:t>水文地质条件</w:t>
      </w:r>
    </w:p>
    <w:p>
      <w:pPr>
        <w:spacing w:after="3"/>
        <w:ind w:left="2" w:right="2" w:firstLine="480"/>
        <w:rPr>
          <w:rFonts w:hint="eastAsia"/>
          <w:color w:val="000000"/>
        </w:rPr>
      </w:pPr>
      <w:r>
        <w:rPr>
          <w:rFonts w:hint="eastAsia"/>
          <w:color w:val="000000"/>
        </w:rPr>
        <w:t>工程区内埋藏的地下水主要类型为粘性土上层滞水和第四系松散层孔隙潜水。上层滞水主要赋存于第四系全新统冲积堆积的壤土层中，主要接受水田垂直入渗补给和大气降水补给，水量有限，分布不连续，受水田灌溉及降雨影响较大；第四系松散层孔隙潜水主要赋存于第四系全新统冲积堆积的砂壤土层中，主要接受大气降水补给及侧向径流补给，勘察期地下水埋深为1.00～4.00m，微具承压性。</w:t>
      </w:r>
    </w:p>
    <w:p>
      <w:pPr>
        <w:spacing w:after="3"/>
        <w:ind w:left="2" w:right="2" w:firstLine="480"/>
        <w:rPr>
          <w:color w:val="000000"/>
        </w:rPr>
      </w:pPr>
      <w:r>
        <w:rPr>
          <w:rFonts w:hint="eastAsia"/>
          <w:color w:val="000000"/>
        </w:rPr>
        <w:t>地表水（DB1）水化学类型为重碳酸盐钠钙型水，矿化度为723.99mg/L；地表水（DB2）水化学类型为重碳酸盐钠钙型水，矿化度为163.23mg/L；地下水（DX1）水化学类型为重碳酸盐钠钙型水，矿化度为543.34mg/L。根据《水利水电工程地质勘察规范》（GB50487-2008）附录L环境水对混凝土腐蚀性进行评价详见表1.</w:t>
      </w:r>
      <w:r>
        <w:rPr>
          <w:color w:val="000000"/>
        </w:rPr>
        <w:t>4</w:t>
      </w:r>
      <w:r>
        <w:rPr>
          <w:rFonts w:hint="eastAsia"/>
          <w:color w:val="000000"/>
        </w:rPr>
        <w:t>.</w:t>
      </w:r>
      <w:r>
        <w:rPr>
          <w:color w:val="000000"/>
        </w:rPr>
        <w:t>2</w:t>
      </w:r>
      <w:r>
        <w:rPr>
          <w:rFonts w:hint="eastAsia"/>
          <w:color w:val="000000"/>
        </w:rPr>
        <w:t>-</w:t>
      </w:r>
      <w:r>
        <w:rPr>
          <w:color w:val="000000"/>
        </w:rPr>
        <w:t>1</w:t>
      </w:r>
      <w:r>
        <w:rPr>
          <w:rFonts w:hint="eastAsia"/>
          <w:color w:val="000000"/>
        </w:rPr>
        <w:t>，环境水对钢结构及对钢筋砼结构中的钢筋腐蚀性评价详见表1.</w:t>
      </w:r>
      <w:r>
        <w:rPr>
          <w:color w:val="000000"/>
        </w:rPr>
        <w:t>4</w:t>
      </w:r>
      <w:r>
        <w:rPr>
          <w:rFonts w:hint="eastAsia"/>
          <w:color w:val="000000"/>
        </w:rPr>
        <w:t>.</w:t>
      </w:r>
      <w:r>
        <w:rPr>
          <w:color w:val="000000"/>
        </w:rPr>
        <w:t>2</w:t>
      </w:r>
      <w:r>
        <w:rPr>
          <w:rFonts w:hint="eastAsia"/>
          <w:color w:val="000000"/>
        </w:rPr>
        <w:t>-</w:t>
      </w:r>
      <w:r>
        <w:rPr>
          <w:color w:val="000000"/>
        </w:rPr>
        <w:t>2</w:t>
      </w:r>
      <w:r>
        <w:rPr>
          <w:rFonts w:hint="eastAsia"/>
          <w:color w:val="000000"/>
        </w:rPr>
        <w:t>。</w:t>
      </w:r>
    </w:p>
    <w:p>
      <w:pPr>
        <w:ind w:firstLine="0" w:firstLineChars="0"/>
        <w:jc w:val="left"/>
        <w:rPr>
          <w:color w:val="000000"/>
          <w:szCs w:val="24"/>
        </w:rPr>
      </w:pPr>
      <w:r>
        <w:rPr>
          <w:b/>
          <w:bCs/>
          <w:color w:val="000000"/>
          <w:szCs w:val="24"/>
        </w:rPr>
        <w:t>表1.4.2-1                环境水对混凝土腐蚀性评价表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540"/>
        <w:gridCol w:w="582"/>
        <w:gridCol w:w="916"/>
        <w:gridCol w:w="573"/>
        <w:gridCol w:w="884"/>
        <w:gridCol w:w="582"/>
        <w:gridCol w:w="871"/>
        <w:gridCol w:w="587"/>
        <w:gridCol w:w="859"/>
        <w:gridCol w:w="587"/>
        <w:gridCol w:w="8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873" w:type="pct"/>
            <w:noWrap w:val="0"/>
            <w:vAlign w:val="center"/>
          </w:tcPr>
          <w:p>
            <w:pPr>
              <w:pStyle w:val="10"/>
              <w:rPr>
                <w:color w:val="000000"/>
                <w:sz w:val="18"/>
                <w:szCs w:val="18"/>
              </w:rPr>
            </w:pPr>
            <w:r>
              <w:rPr>
                <w:color w:val="000000"/>
                <w:sz w:val="18"/>
                <w:szCs w:val="18"/>
              </w:rPr>
              <w:t>腐蚀性分类</w:t>
            </w:r>
          </w:p>
        </w:tc>
        <w:tc>
          <w:tcPr>
            <w:tcW w:w="849" w:type="pct"/>
            <w:gridSpan w:val="2"/>
            <w:noWrap w:val="0"/>
            <w:vAlign w:val="center"/>
          </w:tcPr>
          <w:p>
            <w:pPr>
              <w:pStyle w:val="10"/>
              <w:rPr>
                <w:color w:val="000000"/>
                <w:sz w:val="18"/>
                <w:szCs w:val="18"/>
              </w:rPr>
            </w:pPr>
            <w:r>
              <w:rPr>
                <w:color w:val="000000"/>
                <w:sz w:val="18"/>
                <w:szCs w:val="18"/>
              </w:rPr>
              <w:t>重碳酸型</w:t>
            </w:r>
          </w:p>
        </w:tc>
        <w:tc>
          <w:tcPr>
            <w:tcW w:w="826" w:type="pct"/>
            <w:gridSpan w:val="2"/>
            <w:noWrap w:val="0"/>
            <w:vAlign w:val="center"/>
          </w:tcPr>
          <w:p>
            <w:pPr>
              <w:pStyle w:val="10"/>
              <w:rPr>
                <w:color w:val="000000"/>
                <w:sz w:val="18"/>
                <w:szCs w:val="18"/>
              </w:rPr>
            </w:pPr>
            <w:r>
              <w:rPr>
                <w:color w:val="000000"/>
                <w:sz w:val="18"/>
                <w:szCs w:val="18"/>
              </w:rPr>
              <w:t>一般酸性型</w:t>
            </w:r>
          </w:p>
        </w:tc>
        <w:tc>
          <w:tcPr>
            <w:tcW w:w="824" w:type="pct"/>
            <w:gridSpan w:val="2"/>
            <w:noWrap w:val="0"/>
            <w:vAlign w:val="center"/>
          </w:tcPr>
          <w:p>
            <w:pPr>
              <w:pStyle w:val="10"/>
              <w:rPr>
                <w:color w:val="000000"/>
                <w:sz w:val="18"/>
                <w:szCs w:val="18"/>
              </w:rPr>
            </w:pPr>
            <w:r>
              <w:rPr>
                <w:color w:val="000000"/>
                <w:sz w:val="18"/>
                <w:szCs w:val="18"/>
              </w:rPr>
              <w:t>碳酸型</w:t>
            </w:r>
          </w:p>
        </w:tc>
        <w:tc>
          <w:tcPr>
            <w:tcW w:w="820" w:type="pct"/>
            <w:gridSpan w:val="2"/>
            <w:noWrap w:val="0"/>
            <w:vAlign w:val="center"/>
          </w:tcPr>
          <w:p>
            <w:pPr>
              <w:pStyle w:val="10"/>
              <w:rPr>
                <w:color w:val="000000"/>
                <w:sz w:val="18"/>
                <w:szCs w:val="18"/>
              </w:rPr>
            </w:pPr>
            <w:r>
              <w:rPr>
                <w:color w:val="000000"/>
                <w:sz w:val="18"/>
                <w:szCs w:val="18"/>
              </w:rPr>
              <w:t>镁离子型</w:t>
            </w:r>
          </w:p>
        </w:tc>
        <w:tc>
          <w:tcPr>
            <w:tcW w:w="807" w:type="pct"/>
            <w:gridSpan w:val="2"/>
            <w:noWrap w:val="0"/>
            <w:vAlign w:val="center"/>
          </w:tcPr>
          <w:p>
            <w:pPr>
              <w:pStyle w:val="10"/>
              <w:rPr>
                <w:color w:val="000000"/>
                <w:sz w:val="18"/>
                <w:szCs w:val="18"/>
              </w:rPr>
            </w:pPr>
            <w:r>
              <w:rPr>
                <w:color w:val="000000"/>
                <w:sz w:val="18"/>
                <w:szCs w:val="18"/>
              </w:rPr>
              <w:t>硫酸盐型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873" w:type="pct"/>
            <w:noWrap w:val="0"/>
            <w:vAlign w:val="center"/>
          </w:tcPr>
          <w:p>
            <w:pPr>
              <w:pStyle w:val="10"/>
              <w:rPr>
                <w:color w:val="000000"/>
                <w:sz w:val="18"/>
                <w:szCs w:val="18"/>
              </w:rPr>
            </w:pPr>
            <w:r>
              <w:rPr>
                <w:color w:val="000000"/>
                <w:sz w:val="18"/>
                <w:szCs w:val="18"/>
              </w:rPr>
              <w:t>腐蚀性判定依据</w:t>
            </w:r>
          </w:p>
        </w:tc>
        <w:tc>
          <w:tcPr>
            <w:tcW w:w="849" w:type="pct"/>
            <w:gridSpan w:val="2"/>
            <w:noWrap w:val="0"/>
            <w:vAlign w:val="center"/>
          </w:tcPr>
          <w:p>
            <w:pPr>
              <w:pStyle w:val="10"/>
              <w:rPr>
                <w:color w:val="000000"/>
                <w:sz w:val="18"/>
                <w:szCs w:val="18"/>
              </w:rPr>
            </w:pPr>
            <w:r>
              <w:rPr>
                <w:color w:val="000000"/>
                <w:sz w:val="18"/>
                <w:szCs w:val="18"/>
              </w:rPr>
              <w:t>HCO</w:t>
            </w:r>
            <w:r>
              <w:rPr>
                <w:color w:val="000000"/>
                <w:sz w:val="18"/>
                <w:szCs w:val="18"/>
                <w:vertAlign w:val="subscript"/>
              </w:rPr>
              <w:t>3</w:t>
            </w:r>
            <w:r>
              <w:rPr>
                <w:color w:val="000000"/>
                <w:sz w:val="18"/>
                <w:szCs w:val="18"/>
                <w:vertAlign w:val="superscript"/>
              </w:rPr>
              <w:t xml:space="preserve">- </w:t>
            </w:r>
            <w:r>
              <w:rPr>
                <w:color w:val="000000"/>
                <w:sz w:val="18"/>
                <w:szCs w:val="18"/>
              </w:rPr>
              <w:t>含量</w:t>
            </w:r>
          </w:p>
          <w:p>
            <w:pPr>
              <w:pStyle w:val="10"/>
              <w:rPr>
                <w:color w:val="000000"/>
                <w:sz w:val="18"/>
                <w:szCs w:val="18"/>
              </w:rPr>
            </w:pPr>
            <w:r>
              <w:rPr>
                <w:color w:val="000000"/>
                <w:sz w:val="18"/>
                <w:szCs w:val="18"/>
              </w:rPr>
              <w:t>（mmol/L）</w:t>
            </w:r>
          </w:p>
        </w:tc>
        <w:tc>
          <w:tcPr>
            <w:tcW w:w="826" w:type="pct"/>
            <w:gridSpan w:val="2"/>
            <w:noWrap w:val="0"/>
            <w:vAlign w:val="center"/>
          </w:tcPr>
          <w:p>
            <w:pPr>
              <w:pStyle w:val="10"/>
              <w:rPr>
                <w:color w:val="000000"/>
                <w:sz w:val="18"/>
                <w:szCs w:val="18"/>
              </w:rPr>
            </w:pPr>
            <w:r>
              <w:rPr>
                <w:color w:val="000000"/>
                <w:sz w:val="18"/>
                <w:szCs w:val="18"/>
              </w:rPr>
              <w:t>pH值</w:t>
            </w:r>
          </w:p>
        </w:tc>
        <w:tc>
          <w:tcPr>
            <w:tcW w:w="824" w:type="pct"/>
            <w:gridSpan w:val="2"/>
            <w:noWrap w:val="0"/>
            <w:vAlign w:val="center"/>
          </w:tcPr>
          <w:p>
            <w:pPr>
              <w:pStyle w:val="10"/>
              <w:rPr>
                <w:color w:val="000000"/>
                <w:sz w:val="18"/>
                <w:szCs w:val="18"/>
              </w:rPr>
            </w:pPr>
            <w:r>
              <w:rPr>
                <w:color w:val="000000"/>
                <w:sz w:val="18"/>
                <w:szCs w:val="18"/>
              </w:rPr>
              <w:t>侵蚀性CO</w:t>
            </w:r>
            <w:r>
              <w:rPr>
                <w:color w:val="000000"/>
                <w:sz w:val="18"/>
                <w:szCs w:val="18"/>
                <w:vertAlign w:val="subscript"/>
              </w:rPr>
              <w:t>2</w:t>
            </w:r>
            <w:r>
              <w:rPr>
                <w:color w:val="000000"/>
                <w:sz w:val="18"/>
                <w:szCs w:val="18"/>
              </w:rPr>
              <w:t>含量</w:t>
            </w:r>
          </w:p>
          <w:p>
            <w:pPr>
              <w:pStyle w:val="10"/>
              <w:rPr>
                <w:color w:val="000000"/>
                <w:sz w:val="18"/>
                <w:szCs w:val="18"/>
              </w:rPr>
            </w:pPr>
            <w:r>
              <w:rPr>
                <w:color w:val="000000"/>
                <w:sz w:val="18"/>
                <w:szCs w:val="18"/>
              </w:rPr>
              <w:t>（mg/L）</w:t>
            </w:r>
          </w:p>
        </w:tc>
        <w:tc>
          <w:tcPr>
            <w:tcW w:w="820" w:type="pct"/>
            <w:gridSpan w:val="2"/>
            <w:noWrap w:val="0"/>
            <w:vAlign w:val="center"/>
          </w:tcPr>
          <w:p>
            <w:pPr>
              <w:pStyle w:val="10"/>
              <w:rPr>
                <w:color w:val="000000"/>
                <w:sz w:val="18"/>
                <w:szCs w:val="18"/>
              </w:rPr>
            </w:pPr>
            <w:r>
              <w:rPr>
                <w:color w:val="000000"/>
                <w:sz w:val="18"/>
                <w:szCs w:val="18"/>
              </w:rPr>
              <w:t>Mg</w:t>
            </w:r>
            <w:r>
              <w:rPr>
                <w:color w:val="000000"/>
                <w:sz w:val="18"/>
                <w:szCs w:val="18"/>
                <w:vertAlign w:val="superscript"/>
              </w:rPr>
              <w:t>2+</w:t>
            </w:r>
            <w:r>
              <w:rPr>
                <w:color w:val="000000"/>
                <w:sz w:val="18"/>
                <w:szCs w:val="18"/>
              </w:rPr>
              <w:t>含量</w:t>
            </w:r>
          </w:p>
          <w:p>
            <w:pPr>
              <w:pStyle w:val="10"/>
              <w:rPr>
                <w:color w:val="000000"/>
                <w:sz w:val="18"/>
                <w:szCs w:val="18"/>
              </w:rPr>
            </w:pPr>
            <w:r>
              <w:rPr>
                <w:color w:val="000000"/>
                <w:sz w:val="18"/>
                <w:szCs w:val="18"/>
              </w:rPr>
              <w:t>（mg/L）</w:t>
            </w:r>
          </w:p>
        </w:tc>
        <w:tc>
          <w:tcPr>
            <w:tcW w:w="807" w:type="pct"/>
            <w:gridSpan w:val="2"/>
            <w:noWrap w:val="0"/>
            <w:vAlign w:val="center"/>
          </w:tcPr>
          <w:p>
            <w:pPr>
              <w:pStyle w:val="10"/>
              <w:rPr>
                <w:color w:val="000000"/>
                <w:sz w:val="18"/>
                <w:szCs w:val="18"/>
              </w:rPr>
            </w:pP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含量</w:t>
            </w:r>
          </w:p>
          <w:p>
            <w:pPr>
              <w:pStyle w:val="10"/>
              <w:rPr>
                <w:color w:val="000000"/>
                <w:sz w:val="18"/>
                <w:szCs w:val="18"/>
              </w:rPr>
            </w:pPr>
            <w:r>
              <w:rPr>
                <w:color w:val="000000"/>
                <w:sz w:val="18"/>
                <w:szCs w:val="18"/>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426" w:hRule="atLeast"/>
          <w:jc w:val="center"/>
        </w:trPr>
        <w:tc>
          <w:tcPr>
            <w:tcW w:w="873" w:type="pct"/>
            <w:noWrap w:val="0"/>
            <w:vAlign w:val="center"/>
          </w:tcPr>
          <w:p>
            <w:pPr>
              <w:pStyle w:val="10"/>
              <w:rPr>
                <w:color w:val="000000"/>
                <w:sz w:val="18"/>
                <w:szCs w:val="18"/>
              </w:rPr>
            </w:pPr>
            <w:r>
              <w:rPr>
                <w:color w:val="000000"/>
                <w:sz w:val="18"/>
                <w:szCs w:val="18"/>
              </w:rPr>
              <w:t>GB50487-2008</w:t>
            </w:r>
          </w:p>
          <w:p>
            <w:pPr>
              <w:pStyle w:val="10"/>
              <w:rPr>
                <w:color w:val="000000"/>
                <w:sz w:val="18"/>
                <w:szCs w:val="18"/>
              </w:rPr>
            </w:pPr>
            <w:r>
              <w:rPr>
                <w:color w:val="000000"/>
                <w:sz w:val="18"/>
                <w:szCs w:val="18"/>
              </w:rPr>
              <w:t>界限指标及</w:t>
            </w:r>
          </w:p>
          <w:p>
            <w:pPr>
              <w:pStyle w:val="10"/>
              <w:rPr>
                <w:color w:val="000000"/>
                <w:sz w:val="18"/>
                <w:szCs w:val="18"/>
              </w:rPr>
            </w:pPr>
            <w:r>
              <w:rPr>
                <w:color w:val="000000"/>
                <w:sz w:val="18"/>
                <w:szCs w:val="18"/>
              </w:rPr>
              <w:t>腐蚀程度</w:t>
            </w:r>
          </w:p>
        </w:tc>
        <w:tc>
          <w:tcPr>
            <w:tcW w:w="849" w:type="pct"/>
            <w:gridSpan w:val="2"/>
            <w:noWrap w:val="0"/>
            <w:vAlign w:val="center"/>
          </w:tcPr>
          <w:p>
            <w:pPr>
              <w:pStyle w:val="10"/>
              <w:rPr>
                <w:color w:val="000000"/>
                <w:sz w:val="18"/>
                <w:szCs w:val="18"/>
              </w:rPr>
            </w:pPr>
            <w:r>
              <w:rPr>
                <w:color w:val="000000"/>
                <w:sz w:val="18"/>
                <w:szCs w:val="18"/>
              </w:rPr>
              <w:t>HCO</w:t>
            </w:r>
            <w:r>
              <w:rPr>
                <w:color w:val="000000"/>
                <w:sz w:val="18"/>
                <w:szCs w:val="18"/>
                <w:vertAlign w:val="subscript"/>
              </w:rPr>
              <w:t>3</w:t>
            </w:r>
            <w:r>
              <w:rPr>
                <w:color w:val="000000"/>
                <w:sz w:val="18"/>
                <w:szCs w:val="18"/>
                <w:vertAlign w:val="superscript"/>
              </w:rPr>
              <w:t>-</w:t>
            </w:r>
            <w:r>
              <w:rPr>
                <w:color w:val="000000"/>
                <w:sz w:val="18"/>
                <w:szCs w:val="18"/>
              </w:rPr>
              <w:t>＞1.07</w:t>
            </w:r>
          </w:p>
          <w:p>
            <w:pPr>
              <w:pStyle w:val="10"/>
              <w:rPr>
                <w:color w:val="000000"/>
                <w:sz w:val="18"/>
                <w:szCs w:val="18"/>
              </w:rPr>
            </w:pPr>
            <w:r>
              <w:rPr>
                <w:color w:val="000000"/>
                <w:sz w:val="18"/>
                <w:szCs w:val="18"/>
              </w:rPr>
              <w:t>无腐蚀</w:t>
            </w:r>
          </w:p>
          <w:p>
            <w:pPr>
              <w:pStyle w:val="10"/>
              <w:rPr>
                <w:color w:val="000000"/>
                <w:sz w:val="18"/>
                <w:szCs w:val="18"/>
              </w:rPr>
            </w:pPr>
            <w:r>
              <w:rPr>
                <w:color w:val="000000"/>
                <w:sz w:val="18"/>
                <w:szCs w:val="18"/>
              </w:rPr>
              <w:t>1.07≥HCO</w:t>
            </w:r>
            <w:r>
              <w:rPr>
                <w:color w:val="000000"/>
                <w:sz w:val="18"/>
                <w:szCs w:val="18"/>
                <w:vertAlign w:val="subscript"/>
              </w:rPr>
              <w:t>3</w:t>
            </w:r>
            <w:r>
              <w:rPr>
                <w:color w:val="000000"/>
                <w:sz w:val="18"/>
                <w:szCs w:val="18"/>
                <w:vertAlign w:val="superscript"/>
              </w:rPr>
              <w:t>-</w:t>
            </w:r>
            <w:r>
              <w:rPr>
                <w:color w:val="000000"/>
                <w:sz w:val="18"/>
                <w:szCs w:val="18"/>
              </w:rPr>
              <w:t>＞0.7</w:t>
            </w:r>
          </w:p>
          <w:p>
            <w:pPr>
              <w:pStyle w:val="10"/>
              <w:rPr>
                <w:color w:val="000000"/>
                <w:sz w:val="18"/>
                <w:szCs w:val="18"/>
              </w:rPr>
            </w:pPr>
            <w:r>
              <w:rPr>
                <w:color w:val="000000"/>
                <w:sz w:val="18"/>
                <w:szCs w:val="18"/>
              </w:rPr>
              <w:t>弱腐蚀</w:t>
            </w:r>
          </w:p>
          <w:p>
            <w:pPr>
              <w:pStyle w:val="10"/>
              <w:rPr>
                <w:color w:val="000000"/>
                <w:sz w:val="18"/>
                <w:szCs w:val="18"/>
              </w:rPr>
            </w:pPr>
            <w:r>
              <w:rPr>
                <w:color w:val="000000"/>
                <w:sz w:val="18"/>
                <w:szCs w:val="18"/>
              </w:rPr>
              <w:t>HCO</w:t>
            </w:r>
            <w:r>
              <w:rPr>
                <w:color w:val="000000"/>
                <w:sz w:val="18"/>
                <w:szCs w:val="18"/>
                <w:vertAlign w:val="subscript"/>
              </w:rPr>
              <w:t>3</w:t>
            </w:r>
            <w:r>
              <w:rPr>
                <w:color w:val="000000"/>
                <w:sz w:val="18"/>
                <w:szCs w:val="18"/>
                <w:vertAlign w:val="superscript"/>
              </w:rPr>
              <w:t>-</w:t>
            </w:r>
            <w:r>
              <w:rPr>
                <w:color w:val="000000"/>
                <w:sz w:val="18"/>
                <w:szCs w:val="18"/>
              </w:rPr>
              <w:t>≤0.7</w:t>
            </w:r>
          </w:p>
          <w:p>
            <w:pPr>
              <w:pStyle w:val="10"/>
              <w:rPr>
                <w:color w:val="000000"/>
                <w:sz w:val="18"/>
                <w:szCs w:val="18"/>
              </w:rPr>
            </w:pPr>
            <w:r>
              <w:rPr>
                <w:color w:val="000000"/>
                <w:sz w:val="18"/>
                <w:szCs w:val="18"/>
              </w:rPr>
              <w:t>中等腐蚀</w:t>
            </w:r>
          </w:p>
        </w:tc>
        <w:tc>
          <w:tcPr>
            <w:tcW w:w="826" w:type="pct"/>
            <w:gridSpan w:val="2"/>
            <w:noWrap w:val="0"/>
            <w:vAlign w:val="center"/>
          </w:tcPr>
          <w:p>
            <w:pPr>
              <w:pStyle w:val="10"/>
              <w:rPr>
                <w:color w:val="000000"/>
                <w:sz w:val="18"/>
                <w:szCs w:val="18"/>
              </w:rPr>
            </w:pPr>
            <w:r>
              <w:rPr>
                <w:color w:val="000000"/>
                <w:sz w:val="18"/>
                <w:szCs w:val="18"/>
              </w:rPr>
              <w:t>pH＞6.5</w:t>
            </w:r>
          </w:p>
          <w:p>
            <w:pPr>
              <w:pStyle w:val="10"/>
              <w:rPr>
                <w:color w:val="000000"/>
                <w:sz w:val="18"/>
                <w:szCs w:val="18"/>
              </w:rPr>
            </w:pPr>
            <w:r>
              <w:rPr>
                <w:color w:val="000000"/>
                <w:sz w:val="18"/>
                <w:szCs w:val="18"/>
              </w:rPr>
              <w:t>无腐蚀</w:t>
            </w:r>
          </w:p>
          <w:p>
            <w:pPr>
              <w:pStyle w:val="10"/>
              <w:rPr>
                <w:color w:val="000000"/>
                <w:sz w:val="18"/>
                <w:szCs w:val="18"/>
              </w:rPr>
            </w:pPr>
            <w:r>
              <w:rPr>
                <w:color w:val="000000"/>
                <w:sz w:val="18"/>
                <w:szCs w:val="18"/>
              </w:rPr>
              <w:t>6.5≥pH＞6.0</w:t>
            </w:r>
          </w:p>
          <w:p>
            <w:pPr>
              <w:pStyle w:val="10"/>
              <w:rPr>
                <w:color w:val="000000"/>
                <w:sz w:val="18"/>
                <w:szCs w:val="18"/>
              </w:rPr>
            </w:pPr>
            <w:r>
              <w:rPr>
                <w:color w:val="000000"/>
                <w:sz w:val="18"/>
                <w:szCs w:val="18"/>
              </w:rPr>
              <w:t>弱腐蚀</w:t>
            </w:r>
          </w:p>
          <w:p>
            <w:pPr>
              <w:pStyle w:val="10"/>
              <w:rPr>
                <w:color w:val="000000"/>
                <w:sz w:val="18"/>
                <w:szCs w:val="18"/>
              </w:rPr>
            </w:pPr>
            <w:r>
              <w:rPr>
                <w:color w:val="000000"/>
                <w:sz w:val="18"/>
                <w:szCs w:val="18"/>
              </w:rPr>
              <w:t>6.0≥pH＞5.5</w:t>
            </w:r>
          </w:p>
          <w:p>
            <w:pPr>
              <w:pStyle w:val="10"/>
              <w:rPr>
                <w:color w:val="000000"/>
                <w:sz w:val="18"/>
                <w:szCs w:val="18"/>
              </w:rPr>
            </w:pPr>
            <w:r>
              <w:rPr>
                <w:color w:val="000000"/>
                <w:sz w:val="18"/>
                <w:szCs w:val="18"/>
              </w:rPr>
              <w:t>中等腐蚀</w:t>
            </w:r>
          </w:p>
          <w:p>
            <w:pPr>
              <w:pStyle w:val="10"/>
              <w:rPr>
                <w:color w:val="000000"/>
                <w:sz w:val="18"/>
                <w:szCs w:val="18"/>
              </w:rPr>
            </w:pPr>
            <w:r>
              <w:rPr>
                <w:color w:val="000000"/>
                <w:sz w:val="18"/>
                <w:szCs w:val="18"/>
              </w:rPr>
              <w:t>pH≤5.5</w:t>
            </w:r>
          </w:p>
          <w:p>
            <w:pPr>
              <w:pStyle w:val="10"/>
              <w:rPr>
                <w:color w:val="000000"/>
                <w:sz w:val="18"/>
                <w:szCs w:val="18"/>
              </w:rPr>
            </w:pPr>
            <w:r>
              <w:rPr>
                <w:color w:val="000000"/>
                <w:sz w:val="18"/>
                <w:szCs w:val="18"/>
              </w:rPr>
              <w:t>强腐蚀</w:t>
            </w:r>
          </w:p>
        </w:tc>
        <w:tc>
          <w:tcPr>
            <w:tcW w:w="824" w:type="pct"/>
            <w:gridSpan w:val="2"/>
            <w:noWrap w:val="0"/>
            <w:vAlign w:val="center"/>
          </w:tcPr>
          <w:p>
            <w:pPr>
              <w:pStyle w:val="10"/>
              <w:rPr>
                <w:color w:val="000000"/>
                <w:sz w:val="18"/>
                <w:szCs w:val="18"/>
              </w:rPr>
            </w:pPr>
            <w:r>
              <w:rPr>
                <w:color w:val="000000"/>
                <w:sz w:val="18"/>
                <w:szCs w:val="18"/>
              </w:rPr>
              <w:t>CO</w:t>
            </w:r>
            <w:r>
              <w:rPr>
                <w:color w:val="000000"/>
                <w:sz w:val="18"/>
                <w:szCs w:val="18"/>
                <w:vertAlign w:val="subscript"/>
              </w:rPr>
              <w:t>2</w:t>
            </w:r>
            <w:r>
              <w:rPr>
                <w:color w:val="000000"/>
                <w:sz w:val="18"/>
                <w:szCs w:val="18"/>
              </w:rPr>
              <w:t>＜15mg/ l</w:t>
            </w:r>
          </w:p>
          <w:p>
            <w:pPr>
              <w:pStyle w:val="10"/>
              <w:rPr>
                <w:color w:val="000000"/>
                <w:sz w:val="18"/>
                <w:szCs w:val="18"/>
              </w:rPr>
            </w:pPr>
            <w:r>
              <w:rPr>
                <w:color w:val="000000"/>
                <w:sz w:val="18"/>
                <w:szCs w:val="18"/>
              </w:rPr>
              <w:t>无腐蚀</w:t>
            </w:r>
          </w:p>
          <w:p>
            <w:pPr>
              <w:pStyle w:val="10"/>
              <w:rPr>
                <w:color w:val="000000"/>
                <w:sz w:val="18"/>
                <w:szCs w:val="18"/>
              </w:rPr>
            </w:pPr>
            <w:r>
              <w:rPr>
                <w:color w:val="000000"/>
                <w:sz w:val="18"/>
                <w:szCs w:val="18"/>
              </w:rPr>
              <w:t>15≤CO</w:t>
            </w:r>
            <w:r>
              <w:rPr>
                <w:color w:val="000000"/>
                <w:sz w:val="18"/>
                <w:szCs w:val="18"/>
                <w:vertAlign w:val="subscript"/>
              </w:rPr>
              <w:t>2</w:t>
            </w:r>
            <w:r>
              <w:rPr>
                <w:color w:val="000000"/>
                <w:sz w:val="18"/>
                <w:szCs w:val="18"/>
              </w:rPr>
              <w:t>＜30</w:t>
            </w:r>
          </w:p>
          <w:p>
            <w:pPr>
              <w:pStyle w:val="10"/>
              <w:rPr>
                <w:color w:val="000000"/>
                <w:sz w:val="18"/>
                <w:szCs w:val="18"/>
              </w:rPr>
            </w:pPr>
            <w:r>
              <w:rPr>
                <w:color w:val="000000"/>
                <w:sz w:val="18"/>
                <w:szCs w:val="18"/>
              </w:rPr>
              <w:t>弱腐蚀</w:t>
            </w:r>
          </w:p>
          <w:p>
            <w:pPr>
              <w:pStyle w:val="10"/>
              <w:rPr>
                <w:color w:val="000000"/>
                <w:sz w:val="18"/>
                <w:szCs w:val="18"/>
              </w:rPr>
            </w:pPr>
            <w:r>
              <w:rPr>
                <w:color w:val="000000"/>
                <w:sz w:val="18"/>
                <w:szCs w:val="18"/>
              </w:rPr>
              <w:t>30≤CO</w:t>
            </w:r>
            <w:r>
              <w:rPr>
                <w:color w:val="000000"/>
                <w:sz w:val="18"/>
                <w:szCs w:val="18"/>
                <w:vertAlign w:val="subscript"/>
              </w:rPr>
              <w:t>2</w:t>
            </w:r>
            <w:r>
              <w:rPr>
                <w:color w:val="000000"/>
                <w:sz w:val="18"/>
                <w:szCs w:val="18"/>
              </w:rPr>
              <w:t>＜60</w:t>
            </w:r>
          </w:p>
          <w:p>
            <w:pPr>
              <w:pStyle w:val="10"/>
              <w:rPr>
                <w:color w:val="000000"/>
                <w:sz w:val="18"/>
                <w:szCs w:val="18"/>
              </w:rPr>
            </w:pPr>
            <w:r>
              <w:rPr>
                <w:color w:val="000000"/>
                <w:sz w:val="18"/>
                <w:szCs w:val="18"/>
              </w:rPr>
              <w:t>中等腐蚀</w:t>
            </w:r>
          </w:p>
          <w:p>
            <w:pPr>
              <w:pStyle w:val="10"/>
              <w:rPr>
                <w:color w:val="000000"/>
                <w:sz w:val="18"/>
                <w:szCs w:val="18"/>
              </w:rPr>
            </w:pPr>
            <w:r>
              <w:rPr>
                <w:color w:val="000000"/>
                <w:sz w:val="18"/>
                <w:szCs w:val="18"/>
              </w:rPr>
              <w:t>CO</w:t>
            </w:r>
            <w:r>
              <w:rPr>
                <w:color w:val="000000"/>
                <w:sz w:val="18"/>
                <w:szCs w:val="18"/>
                <w:vertAlign w:val="subscript"/>
              </w:rPr>
              <w:t>2</w:t>
            </w:r>
            <w:r>
              <w:rPr>
                <w:color w:val="000000"/>
                <w:sz w:val="18"/>
                <w:szCs w:val="18"/>
              </w:rPr>
              <w:t>≥60</w:t>
            </w:r>
          </w:p>
          <w:p>
            <w:pPr>
              <w:pStyle w:val="10"/>
              <w:rPr>
                <w:color w:val="000000"/>
                <w:sz w:val="18"/>
                <w:szCs w:val="18"/>
              </w:rPr>
            </w:pPr>
            <w:r>
              <w:rPr>
                <w:color w:val="000000"/>
                <w:sz w:val="18"/>
                <w:szCs w:val="18"/>
              </w:rPr>
              <w:t>强腐蚀</w:t>
            </w:r>
          </w:p>
        </w:tc>
        <w:tc>
          <w:tcPr>
            <w:tcW w:w="820" w:type="pct"/>
            <w:gridSpan w:val="2"/>
            <w:noWrap w:val="0"/>
            <w:vAlign w:val="center"/>
          </w:tcPr>
          <w:p>
            <w:pPr>
              <w:pStyle w:val="10"/>
              <w:rPr>
                <w:color w:val="000000"/>
                <w:sz w:val="18"/>
                <w:szCs w:val="18"/>
              </w:rPr>
            </w:pPr>
            <w:r>
              <w:rPr>
                <w:color w:val="000000"/>
                <w:sz w:val="18"/>
                <w:szCs w:val="18"/>
              </w:rPr>
              <w:t>Mg</w:t>
            </w:r>
            <w:r>
              <w:rPr>
                <w:color w:val="000000"/>
                <w:sz w:val="18"/>
                <w:szCs w:val="18"/>
                <w:vertAlign w:val="superscript"/>
              </w:rPr>
              <w:t>2+</w:t>
            </w:r>
            <w:r>
              <w:rPr>
                <w:color w:val="000000"/>
                <w:sz w:val="18"/>
                <w:szCs w:val="18"/>
              </w:rPr>
              <w:t>＜1000</w:t>
            </w:r>
          </w:p>
          <w:p>
            <w:pPr>
              <w:pStyle w:val="10"/>
              <w:rPr>
                <w:color w:val="000000"/>
                <w:sz w:val="18"/>
                <w:szCs w:val="18"/>
              </w:rPr>
            </w:pPr>
            <w:r>
              <w:rPr>
                <w:color w:val="000000"/>
                <w:sz w:val="18"/>
                <w:szCs w:val="18"/>
              </w:rPr>
              <w:t>无腐蚀</w:t>
            </w:r>
          </w:p>
          <w:p>
            <w:pPr>
              <w:pStyle w:val="10"/>
              <w:rPr>
                <w:color w:val="000000"/>
                <w:sz w:val="18"/>
                <w:szCs w:val="18"/>
              </w:rPr>
            </w:pPr>
            <w:r>
              <w:rPr>
                <w:color w:val="000000"/>
                <w:sz w:val="18"/>
                <w:szCs w:val="18"/>
              </w:rPr>
              <w:t>1000≤Mg</w:t>
            </w:r>
            <w:r>
              <w:rPr>
                <w:color w:val="000000"/>
                <w:sz w:val="18"/>
                <w:szCs w:val="18"/>
                <w:vertAlign w:val="superscript"/>
              </w:rPr>
              <w:t>2+</w:t>
            </w:r>
            <w:r>
              <w:rPr>
                <w:color w:val="000000"/>
                <w:sz w:val="18"/>
                <w:szCs w:val="18"/>
              </w:rPr>
              <w:t>＜1500</w:t>
            </w:r>
          </w:p>
          <w:p>
            <w:pPr>
              <w:pStyle w:val="10"/>
              <w:rPr>
                <w:color w:val="000000"/>
                <w:sz w:val="18"/>
                <w:szCs w:val="18"/>
              </w:rPr>
            </w:pPr>
            <w:r>
              <w:rPr>
                <w:color w:val="000000"/>
                <w:sz w:val="18"/>
                <w:szCs w:val="18"/>
              </w:rPr>
              <w:t>弱腐蚀</w:t>
            </w:r>
          </w:p>
          <w:p>
            <w:pPr>
              <w:pStyle w:val="10"/>
              <w:rPr>
                <w:color w:val="000000"/>
                <w:sz w:val="18"/>
                <w:szCs w:val="18"/>
              </w:rPr>
            </w:pPr>
            <w:r>
              <w:rPr>
                <w:color w:val="000000"/>
                <w:sz w:val="18"/>
                <w:szCs w:val="18"/>
              </w:rPr>
              <w:t>1500≤Mg</w:t>
            </w:r>
            <w:r>
              <w:rPr>
                <w:color w:val="000000"/>
                <w:sz w:val="18"/>
                <w:szCs w:val="18"/>
                <w:vertAlign w:val="superscript"/>
              </w:rPr>
              <w:t>2+</w:t>
            </w:r>
            <w:r>
              <w:rPr>
                <w:color w:val="000000"/>
                <w:sz w:val="18"/>
                <w:szCs w:val="18"/>
              </w:rPr>
              <w:t>＜2000</w:t>
            </w:r>
          </w:p>
          <w:p>
            <w:pPr>
              <w:pStyle w:val="10"/>
              <w:rPr>
                <w:color w:val="000000"/>
                <w:sz w:val="18"/>
                <w:szCs w:val="18"/>
              </w:rPr>
            </w:pPr>
            <w:r>
              <w:rPr>
                <w:color w:val="000000"/>
                <w:sz w:val="18"/>
                <w:szCs w:val="18"/>
              </w:rPr>
              <w:t>中等腐蚀</w:t>
            </w:r>
          </w:p>
          <w:p>
            <w:pPr>
              <w:pStyle w:val="10"/>
              <w:rPr>
                <w:color w:val="000000"/>
                <w:sz w:val="18"/>
                <w:szCs w:val="18"/>
              </w:rPr>
            </w:pPr>
            <w:r>
              <w:rPr>
                <w:color w:val="000000"/>
                <w:sz w:val="18"/>
                <w:szCs w:val="18"/>
              </w:rPr>
              <w:t>Mg</w:t>
            </w:r>
            <w:r>
              <w:rPr>
                <w:color w:val="000000"/>
                <w:sz w:val="18"/>
                <w:szCs w:val="18"/>
                <w:vertAlign w:val="superscript"/>
              </w:rPr>
              <w:t>2+</w:t>
            </w:r>
            <w:r>
              <w:rPr>
                <w:color w:val="000000"/>
                <w:sz w:val="18"/>
                <w:szCs w:val="18"/>
              </w:rPr>
              <w:t>≥2000</w:t>
            </w:r>
          </w:p>
          <w:p>
            <w:pPr>
              <w:pStyle w:val="10"/>
              <w:rPr>
                <w:color w:val="000000"/>
                <w:sz w:val="18"/>
                <w:szCs w:val="18"/>
              </w:rPr>
            </w:pPr>
            <w:r>
              <w:rPr>
                <w:color w:val="000000"/>
                <w:sz w:val="18"/>
                <w:szCs w:val="18"/>
              </w:rPr>
              <w:t>强腐蚀</w:t>
            </w:r>
          </w:p>
        </w:tc>
        <w:tc>
          <w:tcPr>
            <w:tcW w:w="807" w:type="pct"/>
            <w:gridSpan w:val="2"/>
            <w:noWrap w:val="0"/>
            <w:vAlign w:val="center"/>
          </w:tcPr>
          <w:p>
            <w:pPr>
              <w:pStyle w:val="10"/>
              <w:rPr>
                <w:color w:val="000000"/>
                <w:sz w:val="18"/>
                <w:szCs w:val="18"/>
              </w:rPr>
            </w:pP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＜250</w:t>
            </w:r>
          </w:p>
          <w:p>
            <w:pPr>
              <w:pStyle w:val="10"/>
              <w:rPr>
                <w:color w:val="000000"/>
                <w:sz w:val="18"/>
                <w:szCs w:val="18"/>
              </w:rPr>
            </w:pPr>
            <w:r>
              <w:rPr>
                <w:color w:val="000000"/>
                <w:sz w:val="18"/>
                <w:szCs w:val="18"/>
              </w:rPr>
              <w:t>无腐蚀</w:t>
            </w:r>
          </w:p>
          <w:p>
            <w:pPr>
              <w:pStyle w:val="10"/>
              <w:rPr>
                <w:color w:val="000000"/>
                <w:sz w:val="18"/>
                <w:szCs w:val="18"/>
              </w:rPr>
            </w:pPr>
            <w:r>
              <w:rPr>
                <w:color w:val="000000"/>
                <w:sz w:val="18"/>
                <w:szCs w:val="18"/>
              </w:rPr>
              <w:t>250≤SO</w:t>
            </w:r>
            <w:r>
              <w:rPr>
                <w:color w:val="000000"/>
                <w:sz w:val="18"/>
                <w:szCs w:val="18"/>
                <w:vertAlign w:val="subscript"/>
              </w:rPr>
              <w:t>4</w:t>
            </w:r>
            <w:r>
              <w:rPr>
                <w:color w:val="000000"/>
                <w:sz w:val="18"/>
                <w:szCs w:val="18"/>
                <w:vertAlign w:val="superscript"/>
              </w:rPr>
              <w:t>2-</w:t>
            </w:r>
            <w:r>
              <w:rPr>
                <w:color w:val="000000"/>
                <w:sz w:val="18"/>
                <w:szCs w:val="18"/>
              </w:rPr>
              <w:t>＜400</w:t>
            </w:r>
          </w:p>
          <w:p>
            <w:pPr>
              <w:pStyle w:val="10"/>
              <w:rPr>
                <w:color w:val="000000"/>
                <w:sz w:val="18"/>
                <w:szCs w:val="18"/>
              </w:rPr>
            </w:pPr>
            <w:r>
              <w:rPr>
                <w:color w:val="000000"/>
                <w:sz w:val="18"/>
                <w:szCs w:val="18"/>
              </w:rPr>
              <w:t>弱腐蚀</w:t>
            </w:r>
          </w:p>
          <w:p>
            <w:pPr>
              <w:pStyle w:val="10"/>
              <w:rPr>
                <w:color w:val="000000"/>
                <w:sz w:val="18"/>
                <w:szCs w:val="18"/>
              </w:rPr>
            </w:pPr>
            <w:r>
              <w:rPr>
                <w:color w:val="000000"/>
                <w:sz w:val="18"/>
                <w:szCs w:val="18"/>
              </w:rPr>
              <w:t>400≤SO</w:t>
            </w:r>
            <w:r>
              <w:rPr>
                <w:color w:val="000000"/>
                <w:sz w:val="18"/>
                <w:szCs w:val="18"/>
                <w:vertAlign w:val="subscript"/>
              </w:rPr>
              <w:t>4</w:t>
            </w:r>
            <w:r>
              <w:rPr>
                <w:color w:val="000000"/>
                <w:sz w:val="18"/>
                <w:szCs w:val="18"/>
                <w:vertAlign w:val="superscript"/>
              </w:rPr>
              <w:t>2-</w:t>
            </w:r>
            <w:r>
              <w:rPr>
                <w:color w:val="000000"/>
                <w:sz w:val="18"/>
                <w:szCs w:val="18"/>
              </w:rPr>
              <w:t>＜500</w:t>
            </w:r>
          </w:p>
          <w:p>
            <w:pPr>
              <w:pStyle w:val="10"/>
              <w:rPr>
                <w:color w:val="000000"/>
                <w:sz w:val="18"/>
                <w:szCs w:val="18"/>
              </w:rPr>
            </w:pPr>
            <w:r>
              <w:rPr>
                <w:color w:val="000000"/>
                <w:sz w:val="18"/>
                <w:szCs w:val="18"/>
              </w:rPr>
              <w:t>中等腐蚀</w:t>
            </w:r>
          </w:p>
          <w:p>
            <w:pPr>
              <w:pStyle w:val="10"/>
              <w:rPr>
                <w:color w:val="000000"/>
                <w:sz w:val="18"/>
                <w:szCs w:val="18"/>
              </w:rPr>
            </w:pP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≥500</w:t>
            </w:r>
          </w:p>
          <w:p>
            <w:pPr>
              <w:pStyle w:val="10"/>
              <w:rPr>
                <w:color w:val="000000"/>
                <w:sz w:val="18"/>
                <w:szCs w:val="18"/>
              </w:rPr>
            </w:pPr>
            <w:r>
              <w:rPr>
                <w:color w:val="000000"/>
                <w:sz w:val="18"/>
                <w:szCs w:val="18"/>
              </w:rPr>
              <w:t>强腐蚀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5" w:hRule="atLeast"/>
          <w:jc w:val="center"/>
        </w:trPr>
        <w:tc>
          <w:tcPr>
            <w:tcW w:w="873" w:type="pct"/>
            <w:noWrap w:val="0"/>
            <w:vAlign w:val="center"/>
          </w:tcPr>
          <w:p>
            <w:pPr>
              <w:pStyle w:val="10"/>
              <w:rPr>
                <w:color w:val="000000"/>
                <w:sz w:val="18"/>
                <w:szCs w:val="18"/>
              </w:rPr>
            </w:pPr>
            <w:r>
              <w:rPr>
                <w:color w:val="000000"/>
                <w:sz w:val="18"/>
                <w:szCs w:val="18"/>
              </w:rPr>
              <w:t>评价</w:t>
            </w:r>
          </w:p>
          <w:p>
            <w:pPr>
              <w:pStyle w:val="10"/>
              <w:rPr>
                <w:color w:val="000000"/>
                <w:sz w:val="18"/>
                <w:szCs w:val="18"/>
              </w:rPr>
            </w:pPr>
            <w:r>
              <w:rPr>
                <w:color w:val="000000"/>
                <w:sz w:val="18"/>
                <w:szCs w:val="18"/>
              </w:rPr>
              <w:t>编号</w:t>
            </w:r>
          </w:p>
        </w:tc>
        <w:tc>
          <w:tcPr>
            <w:tcW w:w="330" w:type="pct"/>
            <w:noWrap w:val="0"/>
            <w:vAlign w:val="center"/>
          </w:tcPr>
          <w:p>
            <w:pPr>
              <w:pStyle w:val="10"/>
              <w:rPr>
                <w:color w:val="000000"/>
                <w:sz w:val="18"/>
                <w:szCs w:val="18"/>
              </w:rPr>
            </w:pPr>
            <w:r>
              <w:rPr>
                <w:color w:val="000000"/>
                <w:sz w:val="18"/>
                <w:szCs w:val="18"/>
              </w:rPr>
              <w:t>分析</w:t>
            </w:r>
          </w:p>
          <w:p>
            <w:pPr>
              <w:pStyle w:val="10"/>
              <w:rPr>
                <w:color w:val="000000"/>
                <w:sz w:val="18"/>
                <w:szCs w:val="18"/>
              </w:rPr>
            </w:pPr>
            <w:r>
              <w:rPr>
                <w:color w:val="000000"/>
                <w:sz w:val="18"/>
                <w:szCs w:val="18"/>
              </w:rPr>
              <w:t>指标</w:t>
            </w:r>
          </w:p>
        </w:tc>
        <w:tc>
          <w:tcPr>
            <w:tcW w:w="519" w:type="pct"/>
            <w:noWrap w:val="0"/>
            <w:vAlign w:val="center"/>
          </w:tcPr>
          <w:p>
            <w:pPr>
              <w:pStyle w:val="10"/>
              <w:rPr>
                <w:color w:val="000000"/>
                <w:sz w:val="18"/>
                <w:szCs w:val="18"/>
              </w:rPr>
            </w:pPr>
            <w:r>
              <w:rPr>
                <w:color w:val="000000"/>
                <w:sz w:val="18"/>
                <w:szCs w:val="18"/>
              </w:rPr>
              <w:t>评价</w:t>
            </w:r>
          </w:p>
        </w:tc>
        <w:tc>
          <w:tcPr>
            <w:tcW w:w="325" w:type="pct"/>
            <w:noWrap w:val="0"/>
            <w:vAlign w:val="center"/>
          </w:tcPr>
          <w:p>
            <w:pPr>
              <w:pStyle w:val="10"/>
              <w:rPr>
                <w:color w:val="000000"/>
                <w:sz w:val="18"/>
                <w:szCs w:val="18"/>
              </w:rPr>
            </w:pPr>
            <w:r>
              <w:rPr>
                <w:color w:val="000000"/>
                <w:sz w:val="18"/>
                <w:szCs w:val="18"/>
              </w:rPr>
              <w:t>分析</w:t>
            </w:r>
          </w:p>
          <w:p>
            <w:pPr>
              <w:pStyle w:val="10"/>
              <w:rPr>
                <w:color w:val="000000"/>
                <w:sz w:val="18"/>
                <w:szCs w:val="18"/>
              </w:rPr>
            </w:pPr>
            <w:r>
              <w:rPr>
                <w:color w:val="000000"/>
                <w:sz w:val="18"/>
                <w:szCs w:val="18"/>
              </w:rPr>
              <w:t>指标</w:t>
            </w:r>
          </w:p>
        </w:tc>
        <w:tc>
          <w:tcPr>
            <w:tcW w:w="501" w:type="pct"/>
            <w:noWrap w:val="0"/>
            <w:vAlign w:val="center"/>
          </w:tcPr>
          <w:p>
            <w:pPr>
              <w:pStyle w:val="10"/>
              <w:rPr>
                <w:color w:val="000000"/>
                <w:sz w:val="18"/>
                <w:szCs w:val="18"/>
              </w:rPr>
            </w:pPr>
            <w:r>
              <w:rPr>
                <w:color w:val="000000"/>
                <w:sz w:val="18"/>
                <w:szCs w:val="18"/>
              </w:rPr>
              <w:t>评价</w:t>
            </w:r>
          </w:p>
        </w:tc>
        <w:tc>
          <w:tcPr>
            <w:tcW w:w="330" w:type="pct"/>
            <w:noWrap w:val="0"/>
            <w:vAlign w:val="center"/>
          </w:tcPr>
          <w:p>
            <w:pPr>
              <w:pStyle w:val="10"/>
              <w:rPr>
                <w:color w:val="000000"/>
                <w:sz w:val="18"/>
                <w:szCs w:val="18"/>
              </w:rPr>
            </w:pPr>
            <w:r>
              <w:rPr>
                <w:color w:val="000000"/>
                <w:sz w:val="18"/>
                <w:szCs w:val="18"/>
              </w:rPr>
              <w:t>分析</w:t>
            </w:r>
          </w:p>
          <w:p>
            <w:pPr>
              <w:pStyle w:val="10"/>
              <w:rPr>
                <w:color w:val="000000"/>
                <w:sz w:val="18"/>
                <w:szCs w:val="18"/>
              </w:rPr>
            </w:pPr>
            <w:r>
              <w:rPr>
                <w:color w:val="000000"/>
                <w:sz w:val="18"/>
                <w:szCs w:val="18"/>
              </w:rPr>
              <w:t>指标</w:t>
            </w:r>
          </w:p>
        </w:tc>
        <w:tc>
          <w:tcPr>
            <w:tcW w:w="494" w:type="pct"/>
            <w:noWrap w:val="0"/>
            <w:vAlign w:val="center"/>
          </w:tcPr>
          <w:p>
            <w:pPr>
              <w:pStyle w:val="10"/>
              <w:rPr>
                <w:color w:val="000000"/>
                <w:sz w:val="18"/>
                <w:szCs w:val="18"/>
              </w:rPr>
            </w:pPr>
            <w:r>
              <w:rPr>
                <w:color w:val="000000"/>
                <w:sz w:val="18"/>
                <w:szCs w:val="18"/>
              </w:rPr>
              <w:t>评价</w:t>
            </w:r>
          </w:p>
        </w:tc>
        <w:tc>
          <w:tcPr>
            <w:tcW w:w="333" w:type="pct"/>
            <w:noWrap w:val="0"/>
            <w:vAlign w:val="center"/>
          </w:tcPr>
          <w:p>
            <w:pPr>
              <w:pStyle w:val="10"/>
              <w:rPr>
                <w:color w:val="000000"/>
                <w:sz w:val="18"/>
                <w:szCs w:val="18"/>
              </w:rPr>
            </w:pPr>
            <w:r>
              <w:rPr>
                <w:color w:val="000000"/>
                <w:sz w:val="18"/>
                <w:szCs w:val="18"/>
              </w:rPr>
              <w:t>分析</w:t>
            </w:r>
          </w:p>
          <w:p>
            <w:pPr>
              <w:pStyle w:val="10"/>
              <w:rPr>
                <w:color w:val="000000"/>
                <w:sz w:val="18"/>
                <w:szCs w:val="18"/>
              </w:rPr>
            </w:pPr>
            <w:r>
              <w:rPr>
                <w:color w:val="000000"/>
                <w:sz w:val="18"/>
                <w:szCs w:val="18"/>
              </w:rPr>
              <w:t>指标</w:t>
            </w:r>
          </w:p>
        </w:tc>
        <w:tc>
          <w:tcPr>
            <w:tcW w:w="487" w:type="pct"/>
            <w:noWrap w:val="0"/>
            <w:vAlign w:val="center"/>
          </w:tcPr>
          <w:p>
            <w:pPr>
              <w:pStyle w:val="10"/>
              <w:rPr>
                <w:color w:val="000000"/>
                <w:sz w:val="18"/>
                <w:szCs w:val="18"/>
              </w:rPr>
            </w:pPr>
            <w:r>
              <w:rPr>
                <w:color w:val="000000"/>
                <w:sz w:val="18"/>
                <w:szCs w:val="18"/>
              </w:rPr>
              <w:t>评价</w:t>
            </w:r>
          </w:p>
        </w:tc>
        <w:tc>
          <w:tcPr>
            <w:tcW w:w="333" w:type="pct"/>
            <w:noWrap w:val="0"/>
            <w:vAlign w:val="center"/>
          </w:tcPr>
          <w:p>
            <w:pPr>
              <w:pStyle w:val="10"/>
              <w:rPr>
                <w:color w:val="000000"/>
                <w:sz w:val="18"/>
                <w:szCs w:val="18"/>
              </w:rPr>
            </w:pPr>
            <w:r>
              <w:rPr>
                <w:color w:val="000000"/>
                <w:sz w:val="18"/>
                <w:szCs w:val="18"/>
              </w:rPr>
              <w:t>分析</w:t>
            </w:r>
          </w:p>
          <w:p>
            <w:pPr>
              <w:pStyle w:val="10"/>
              <w:rPr>
                <w:color w:val="000000"/>
                <w:sz w:val="18"/>
                <w:szCs w:val="18"/>
              </w:rPr>
            </w:pPr>
            <w:r>
              <w:rPr>
                <w:color w:val="000000"/>
                <w:sz w:val="18"/>
                <w:szCs w:val="18"/>
              </w:rPr>
              <w:t>指标</w:t>
            </w:r>
          </w:p>
        </w:tc>
        <w:tc>
          <w:tcPr>
            <w:tcW w:w="474" w:type="pct"/>
            <w:noWrap w:val="0"/>
            <w:vAlign w:val="center"/>
          </w:tcPr>
          <w:p>
            <w:pPr>
              <w:pStyle w:val="10"/>
              <w:rPr>
                <w:color w:val="000000"/>
                <w:sz w:val="18"/>
                <w:szCs w:val="18"/>
              </w:rPr>
            </w:pPr>
            <w:r>
              <w:rPr>
                <w:color w:val="000000"/>
                <w:sz w:val="18"/>
                <w:szCs w:val="18"/>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3" w:type="pct"/>
            <w:noWrap w:val="0"/>
            <w:vAlign w:val="center"/>
          </w:tcPr>
          <w:p>
            <w:pPr>
              <w:pStyle w:val="10"/>
              <w:rPr>
                <w:color w:val="000000"/>
                <w:sz w:val="18"/>
                <w:szCs w:val="18"/>
              </w:rPr>
            </w:pPr>
            <w:r>
              <w:rPr>
                <w:color w:val="000000"/>
                <w:sz w:val="18"/>
                <w:szCs w:val="18"/>
              </w:rPr>
              <w:t>DB1（渠道水）</w:t>
            </w:r>
          </w:p>
        </w:tc>
        <w:tc>
          <w:tcPr>
            <w:tcW w:w="330" w:type="pct"/>
            <w:noWrap w:val="0"/>
            <w:vAlign w:val="center"/>
          </w:tcPr>
          <w:p>
            <w:pPr>
              <w:pStyle w:val="10"/>
              <w:rPr>
                <w:color w:val="000000"/>
                <w:sz w:val="18"/>
                <w:szCs w:val="18"/>
              </w:rPr>
            </w:pPr>
            <w:r>
              <w:rPr>
                <w:color w:val="000000"/>
                <w:sz w:val="18"/>
                <w:szCs w:val="18"/>
              </w:rPr>
              <w:t>8.233</w:t>
            </w:r>
          </w:p>
        </w:tc>
        <w:tc>
          <w:tcPr>
            <w:tcW w:w="519" w:type="pct"/>
            <w:noWrap w:val="0"/>
            <w:vAlign w:val="center"/>
          </w:tcPr>
          <w:p>
            <w:pPr>
              <w:pStyle w:val="10"/>
              <w:rPr>
                <w:b/>
                <w:color w:val="000000"/>
                <w:sz w:val="18"/>
                <w:szCs w:val="18"/>
              </w:rPr>
            </w:pPr>
            <w:r>
              <w:rPr>
                <w:color w:val="000000"/>
                <w:sz w:val="18"/>
                <w:szCs w:val="18"/>
              </w:rPr>
              <w:t>无腐蚀</w:t>
            </w:r>
          </w:p>
        </w:tc>
        <w:tc>
          <w:tcPr>
            <w:tcW w:w="325" w:type="pct"/>
            <w:noWrap w:val="0"/>
            <w:vAlign w:val="center"/>
          </w:tcPr>
          <w:p>
            <w:pPr>
              <w:pStyle w:val="10"/>
              <w:rPr>
                <w:color w:val="000000"/>
                <w:sz w:val="18"/>
                <w:szCs w:val="18"/>
              </w:rPr>
            </w:pPr>
            <w:r>
              <w:rPr>
                <w:color w:val="000000"/>
                <w:sz w:val="18"/>
                <w:szCs w:val="18"/>
              </w:rPr>
              <w:t>7.74</w:t>
            </w:r>
          </w:p>
        </w:tc>
        <w:tc>
          <w:tcPr>
            <w:tcW w:w="501" w:type="pct"/>
            <w:noWrap w:val="0"/>
            <w:vAlign w:val="center"/>
          </w:tcPr>
          <w:p>
            <w:pPr>
              <w:pStyle w:val="10"/>
              <w:rPr>
                <w:color w:val="000000"/>
                <w:sz w:val="18"/>
                <w:szCs w:val="18"/>
              </w:rPr>
            </w:pPr>
            <w:r>
              <w:rPr>
                <w:color w:val="000000"/>
                <w:sz w:val="18"/>
                <w:szCs w:val="18"/>
              </w:rPr>
              <w:t>无腐蚀</w:t>
            </w:r>
          </w:p>
        </w:tc>
        <w:tc>
          <w:tcPr>
            <w:tcW w:w="330" w:type="pct"/>
            <w:noWrap w:val="0"/>
            <w:vAlign w:val="center"/>
          </w:tcPr>
          <w:p>
            <w:pPr>
              <w:pStyle w:val="10"/>
              <w:rPr>
                <w:color w:val="000000"/>
                <w:sz w:val="18"/>
                <w:szCs w:val="18"/>
              </w:rPr>
            </w:pPr>
            <w:r>
              <w:rPr>
                <w:color w:val="000000"/>
                <w:sz w:val="18"/>
                <w:szCs w:val="18"/>
              </w:rPr>
              <w:t>0</w:t>
            </w:r>
          </w:p>
        </w:tc>
        <w:tc>
          <w:tcPr>
            <w:tcW w:w="494" w:type="pct"/>
            <w:noWrap w:val="0"/>
            <w:vAlign w:val="center"/>
          </w:tcPr>
          <w:p>
            <w:pPr>
              <w:pStyle w:val="10"/>
              <w:rPr>
                <w:color w:val="000000"/>
                <w:sz w:val="18"/>
                <w:szCs w:val="18"/>
              </w:rPr>
            </w:pPr>
            <w:r>
              <w:rPr>
                <w:color w:val="000000"/>
                <w:sz w:val="18"/>
                <w:szCs w:val="18"/>
              </w:rPr>
              <w:t>无腐蚀</w:t>
            </w:r>
          </w:p>
        </w:tc>
        <w:tc>
          <w:tcPr>
            <w:tcW w:w="333" w:type="pct"/>
            <w:noWrap w:val="0"/>
            <w:vAlign w:val="center"/>
          </w:tcPr>
          <w:p>
            <w:pPr>
              <w:pStyle w:val="10"/>
              <w:rPr>
                <w:color w:val="000000"/>
                <w:sz w:val="18"/>
                <w:szCs w:val="18"/>
              </w:rPr>
            </w:pPr>
            <w:r>
              <w:rPr>
                <w:color w:val="000000"/>
                <w:sz w:val="18"/>
                <w:szCs w:val="18"/>
              </w:rPr>
              <w:t>18.22</w:t>
            </w:r>
          </w:p>
        </w:tc>
        <w:tc>
          <w:tcPr>
            <w:tcW w:w="487" w:type="pct"/>
            <w:noWrap w:val="0"/>
            <w:vAlign w:val="center"/>
          </w:tcPr>
          <w:p>
            <w:pPr>
              <w:pStyle w:val="10"/>
              <w:rPr>
                <w:color w:val="000000"/>
                <w:sz w:val="18"/>
                <w:szCs w:val="18"/>
              </w:rPr>
            </w:pPr>
            <w:r>
              <w:rPr>
                <w:color w:val="000000"/>
                <w:sz w:val="18"/>
                <w:szCs w:val="18"/>
              </w:rPr>
              <w:t>无腐蚀</w:t>
            </w:r>
          </w:p>
        </w:tc>
        <w:tc>
          <w:tcPr>
            <w:tcW w:w="333" w:type="pct"/>
            <w:noWrap w:val="0"/>
            <w:vAlign w:val="center"/>
          </w:tcPr>
          <w:p>
            <w:pPr>
              <w:pStyle w:val="10"/>
              <w:rPr>
                <w:color w:val="000000"/>
                <w:sz w:val="18"/>
                <w:szCs w:val="18"/>
              </w:rPr>
            </w:pPr>
            <w:r>
              <w:rPr>
                <w:color w:val="000000"/>
                <w:sz w:val="18"/>
                <w:szCs w:val="18"/>
              </w:rPr>
              <w:t>16.94</w:t>
            </w:r>
          </w:p>
        </w:tc>
        <w:tc>
          <w:tcPr>
            <w:tcW w:w="474" w:type="pct"/>
            <w:noWrap w:val="0"/>
            <w:vAlign w:val="center"/>
          </w:tcPr>
          <w:p>
            <w:pPr>
              <w:pStyle w:val="10"/>
              <w:rPr>
                <w:color w:val="000000"/>
                <w:sz w:val="18"/>
                <w:szCs w:val="18"/>
              </w:rPr>
            </w:pPr>
            <w:r>
              <w:rPr>
                <w:color w:val="000000"/>
                <w:sz w:val="18"/>
                <w:szCs w:val="18"/>
              </w:rPr>
              <w:t>无腐蚀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3" w:type="pct"/>
            <w:noWrap w:val="0"/>
            <w:vAlign w:val="center"/>
          </w:tcPr>
          <w:p>
            <w:pPr>
              <w:pStyle w:val="10"/>
              <w:rPr>
                <w:color w:val="000000"/>
                <w:sz w:val="18"/>
                <w:szCs w:val="18"/>
              </w:rPr>
            </w:pPr>
            <w:r>
              <w:rPr>
                <w:color w:val="000000"/>
                <w:sz w:val="18"/>
                <w:szCs w:val="18"/>
              </w:rPr>
              <w:t>DB2（渠道水）</w:t>
            </w:r>
          </w:p>
        </w:tc>
        <w:tc>
          <w:tcPr>
            <w:tcW w:w="330" w:type="pct"/>
            <w:noWrap w:val="0"/>
            <w:vAlign w:val="center"/>
          </w:tcPr>
          <w:p>
            <w:pPr>
              <w:pStyle w:val="10"/>
              <w:rPr>
                <w:color w:val="000000"/>
                <w:sz w:val="18"/>
                <w:szCs w:val="18"/>
              </w:rPr>
            </w:pPr>
            <w:r>
              <w:rPr>
                <w:color w:val="000000"/>
                <w:sz w:val="18"/>
                <w:szCs w:val="18"/>
              </w:rPr>
              <w:t>1.606</w:t>
            </w:r>
          </w:p>
        </w:tc>
        <w:tc>
          <w:tcPr>
            <w:tcW w:w="519" w:type="pct"/>
            <w:noWrap w:val="0"/>
            <w:vAlign w:val="center"/>
          </w:tcPr>
          <w:p>
            <w:pPr>
              <w:pStyle w:val="10"/>
              <w:rPr>
                <w:b/>
                <w:color w:val="000000"/>
                <w:sz w:val="18"/>
                <w:szCs w:val="18"/>
              </w:rPr>
            </w:pPr>
            <w:r>
              <w:rPr>
                <w:color w:val="000000"/>
                <w:sz w:val="18"/>
                <w:szCs w:val="18"/>
              </w:rPr>
              <w:t>无腐蚀</w:t>
            </w:r>
          </w:p>
        </w:tc>
        <w:tc>
          <w:tcPr>
            <w:tcW w:w="325" w:type="pct"/>
            <w:noWrap w:val="0"/>
            <w:vAlign w:val="center"/>
          </w:tcPr>
          <w:p>
            <w:pPr>
              <w:pStyle w:val="10"/>
              <w:rPr>
                <w:color w:val="000000"/>
                <w:sz w:val="18"/>
                <w:szCs w:val="18"/>
              </w:rPr>
            </w:pPr>
            <w:r>
              <w:rPr>
                <w:color w:val="000000"/>
                <w:sz w:val="18"/>
                <w:szCs w:val="18"/>
              </w:rPr>
              <w:t>7.52</w:t>
            </w:r>
          </w:p>
        </w:tc>
        <w:tc>
          <w:tcPr>
            <w:tcW w:w="501" w:type="pct"/>
            <w:noWrap w:val="0"/>
            <w:vAlign w:val="center"/>
          </w:tcPr>
          <w:p>
            <w:pPr>
              <w:pStyle w:val="10"/>
              <w:rPr>
                <w:color w:val="000000"/>
                <w:sz w:val="18"/>
                <w:szCs w:val="18"/>
              </w:rPr>
            </w:pPr>
            <w:r>
              <w:rPr>
                <w:color w:val="000000"/>
                <w:sz w:val="18"/>
                <w:szCs w:val="18"/>
              </w:rPr>
              <w:t>无腐蚀</w:t>
            </w:r>
          </w:p>
        </w:tc>
        <w:tc>
          <w:tcPr>
            <w:tcW w:w="330" w:type="pct"/>
            <w:noWrap w:val="0"/>
            <w:vAlign w:val="center"/>
          </w:tcPr>
          <w:p>
            <w:pPr>
              <w:pStyle w:val="10"/>
              <w:rPr>
                <w:color w:val="000000"/>
                <w:sz w:val="18"/>
                <w:szCs w:val="18"/>
              </w:rPr>
            </w:pPr>
            <w:r>
              <w:rPr>
                <w:color w:val="000000"/>
                <w:sz w:val="18"/>
                <w:szCs w:val="18"/>
              </w:rPr>
              <w:t>4.42</w:t>
            </w:r>
          </w:p>
        </w:tc>
        <w:tc>
          <w:tcPr>
            <w:tcW w:w="494" w:type="pct"/>
            <w:noWrap w:val="0"/>
            <w:vAlign w:val="center"/>
          </w:tcPr>
          <w:p>
            <w:pPr>
              <w:pStyle w:val="10"/>
              <w:rPr>
                <w:color w:val="000000"/>
                <w:sz w:val="18"/>
                <w:szCs w:val="18"/>
              </w:rPr>
            </w:pPr>
            <w:r>
              <w:rPr>
                <w:color w:val="000000"/>
                <w:sz w:val="18"/>
                <w:szCs w:val="18"/>
              </w:rPr>
              <w:t>无腐蚀</w:t>
            </w:r>
          </w:p>
        </w:tc>
        <w:tc>
          <w:tcPr>
            <w:tcW w:w="333" w:type="pct"/>
            <w:noWrap w:val="0"/>
            <w:vAlign w:val="center"/>
          </w:tcPr>
          <w:p>
            <w:pPr>
              <w:pStyle w:val="10"/>
              <w:rPr>
                <w:color w:val="000000"/>
                <w:sz w:val="18"/>
                <w:szCs w:val="18"/>
              </w:rPr>
            </w:pPr>
            <w:r>
              <w:rPr>
                <w:color w:val="000000"/>
                <w:sz w:val="18"/>
                <w:szCs w:val="18"/>
              </w:rPr>
              <w:t>4.28</w:t>
            </w:r>
          </w:p>
        </w:tc>
        <w:tc>
          <w:tcPr>
            <w:tcW w:w="487" w:type="pct"/>
            <w:noWrap w:val="0"/>
            <w:vAlign w:val="center"/>
          </w:tcPr>
          <w:p>
            <w:pPr>
              <w:pStyle w:val="10"/>
              <w:rPr>
                <w:color w:val="000000"/>
                <w:sz w:val="18"/>
                <w:szCs w:val="18"/>
              </w:rPr>
            </w:pPr>
            <w:r>
              <w:rPr>
                <w:color w:val="000000"/>
                <w:sz w:val="18"/>
                <w:szCs w:val="18"/>
              </w:rPr>
              <w:t>无腐蚀</w:t>
            </w:r>
          </w:p>
        </w:tc>
        <w:tc>
          <w:tcPr>
            <w:tcW w:w="333" w:type="pct"/>
            <w:noWrap w:val="0"/>
            <w:vAlign w:val="center"/>
          </w:tcPr>
          <w:p>
            <w:pPr>
              <w:pStyle w:val="10"/>
              <w:rPr>
                <w:color w:val="000000"/>
                <w:sz w:val="18"/>
                <w:szCs w:val="18"/>
              </w:rPr>
            </w:pPr>
            <w:r>
              <w:rPr>
                <w:color w:val="000000"/>
                <w:sz w:val="18"/>
                <w:szCs w:val="18"/>
              </w:rPr>
              <w:t>12.22</w:t>
            </w:r>
          </w:p>
        </w:tc>
        <w:tc>
          <w:tcPr>
            <w:tcW w:w="474" w:type="pct"/>
            <w:noWrap w:val="0"/>
            <w:vAlign w:val="center"/>
          </w:tcPr>
          <w:p>
            <w:pPr>
              <w:pStyle w:val="10"/>
              <w:rPr>
                <w:color w:val="000000"/>
                <w:sz w:val="18"/>
                <w:szCs w:val="18"/>
              </w:rPr>
            </w:pPr>
            <w:r>
              <w:rPr>
                <w:color w:val="000000"/>
                <w:sz w:val="18"/>
                <w:szCs w:val="18"/>
              </w:rPr>
              <w:t>无腐蚀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73" w:type="pct"/>
            <w:noWrap w:val="0"/>
            <w:vAlign w:val="center"/>
          </w:tcPr>
          <w:p>
            <w:pPr>
              <w:pStyle w:val="10"/>
              <w:rPr>
                <w:color w:val="000000"/>
                <w:sz w:val="18"/>
                <w:szCs w:val="18"/>
              </w:rPr>
            </w:pPr>
            <w:r>
              <w:rPr>
                <w:color w:val="000000"/>
                <w:sz w:val="18"/>
                <w:szCs w:val="18"/>
              </w:rPr>
              <w:t>DX1（地下水）</w:t>
            </w:r>
          </w:p>
        </w:tc>
        <w:tc>
          <w:tcPr>
            <w:tcW w:w="330" w:type="pct"/>
            <w:noWrap w:val="0"/>
            <w:vAlign w:val="center"/>
          </w:tcPr>
          <w:p>
            <w:pPr>
              <w:pStyle w:val="10"/>
              <w:rPr>
                <w:color w:val="000000"/>
                <w:sz w:val="18"/>
                <w:szCs w:val="18"/>
              </w:rPr>
            </w:pPr>
            <w:r>
              <w:rPr>
                <w:color w:val="000000"/>
                <w:sz w:val="18"/>
                <w:szCs w:val="18"/>
              </w:rPr>
              <w:t>5.823</w:t>
            </w:r>
          </w:p>
        </w:tc>
        <w:tc>
          <w:tcPr>
            <w:tcW w:w="519" w:type="pct"/>
            <w:noWrap w:val="0"/>
            <w:vAlign w:val="center"/>
          </w:tcPr>
          <w:p>
            <w:pPr>
              <w:pStyle w:val="10"/>
              <w:rPr>
                <w:color w:val="000000"/>
                <w:sz w:val="18"/>
                <w:szCs w:val="18"/>
              </w:rPr>
            </w:pPr>
            <w:r>
              <w:rPr>
                <w:color w:val="000000"/>
                <w:sz w:val="18"/>
                <w:szCs w:val="18"/>
              </w:rPr>
              <w:t>无腐蚀</w:t>
            </w:r>
          </w:p>
        </w:tc>
        <w:tc>
          <w:tcPr>
            <w:tcW w:w="325" w:type="pct"/>
            <w:noWrap w:val="0"/>
            <w:vAlign w:val="center"/>
          </w:tcPr>
          <w:p>
            <w:pPr>
              <w:pStyle w:val="10"/>
              <w:rPr>
                <w:color w:val="000000"/>
                <w:sz w:val="18"/>
                <w:szCs w:val="18"/>
              </w:rPr>
            </w:pPr>
            <w:r>
              <w:rPr>
                <w:color w:val="000000"/>
                <w:sz w:val="18"/>
                <w:szCs w:val="18"/>
              </w:rPr>
              <w:t>7.32</w:t>
            </w:r>
          </w:p>
        </w:tc>
        <w:tc>
          <w:tcPr>
            <w:tcW w:w="501" w:type="pct"/>
            <w:noWrap w:val="0"/>
            <w:vAlign w:val="center"/>
          </w:tcPr>
          <w:p>
            <w:pPr>
              <w:pStyle w:val="10"/>
              <w:rPr>
                <w:color w:val="000000"/>
                <w:sz w:val="18"/>
                <w:szCs w:val="18"/>
              </w:rPr>
            </w:pPr>
            <w:r>
              <w:rPr>
                <w:color w:val="000000"/>
                <w:sz w:val="18"/>
                <w:szCs w:val="18"/>
              </w:rPr>
              <w:t>无腐蚀</w:t>
            </w:r>
          </w:p>
        </w:tc>
        <w:tc>
          <w:tcPr>
            <w:tcW w:w="330" w:type="pct"/>
            <w:noWrap w:val="0"/>
            <w:vAlign w:val="center"/>
          </w:tcPr>
          <w:p>
            <w:pPr>
              <w:pStyle w:val="10"/>
              <w:rPr>
                <w:color w:val="000000"/>
                <w:sz w:val="18"/>
                <w:szCs w:val="18"/>
              </w:rPr>
            </w:pPr>
            <w:r>
              <w:rPr>
                <w:color w:val="000000"/>
                <w:sz w:val="18"/>
                <w:szCs w:val="18"/>
              </w:rPr>
              <w:t>39.76</w:t>
            </w:r>
          </w:p>
        </w:tc>
        <w:tc>
          <w:tcPr>
            <w:tcW w:w="494" w:type="pct"/>
            <w:noWrap w:val="0"/>
            <w:vAlign w:val="center"/>
          </w:tcPr>
          <w:p>
            <w:pPr>
              <w:pStyle w:val="10"/>
              <w:rPr>
                <w:color w:val="000000"/>
                <w:sz w:val="18"/>
                <w:szCs w:val="18"/>
              </w:rPr>
            </w:pPr>
            <w:r>
              <w:rPr>
                <w:color w:val="000000"/>
                <w:sz w:val="18"/>
                <w:szCs w:val="18"/>
              </w:rPr>
              <w:t>中等腐蚀</w:t>
            </w:r>
          </w:p>
        </w:tc>
        <w:tc>
          <w:tcPr>
            <w:tcW w:w="333" w:type="pct"/>
            <w:noWrap w:val="0"/>
            <w:vAlign w:val="center"/>
          </w:tcPr>
          <w:p>
            <w:pPr>
              <w:pStyle w:val="10"/>
              <w:rPr>
                <w:color w:val="000000"/>
                <w:sz w:val="18"/>
                <w:szCs w:val="18"/>
              </w:rPr>
            </w:pPr>
            <w:r>
              <w:rPr>
                <w:color w:val="000000"/>
                <w:sz w:val="18"/>
                <w:szCs w:val="18"/>
              </w:rPr>
              <w:t>17.15</w:t>
            </w:r>
          </w:p>
        </w:tc>
        <w:tc>
          <w:tcPr>
            <w:tcW w:w="487" w:type="pct"/>
            <w:noWrap w:val="0"/>
            <w:vAlign w:val="center"/>
          </w:tcPr>
          <w:p>
            <w:pPr>
              <w:pStyle w:val="10"/>
              <w:rPr>
                <w:color w:val="000000"/>
                <w:sz w:val="18"/>
                <w:szCs w:val="18"/>
              </w:rPr>
            </w:pPr>
            <w:r>
              <w:rPr>
                <w:color w:val="000000"/>
                <w:sz w:val="18"/>
                <w:szCs w:val="18"/>
              </w:rPr>
              <w:t>无腐蚀</w:t>
            </w:r>
          </w:p>
        </w:tc>
        <w:tc>
          <w:tcPr>
            <w:tcW w:w="333" w:type="pct"/>
            <w:noWrap w:val="0"/>
            <w:vAlign w:val="center"/>
          </w:tcPr>
          <w:p>
            <w:pPr>
              <w:pStyle w:val="10"/>
              <w:rPr>
                <w:color w:val="000000"/>
                <w:sz w:val="18"/>
                <w:szCs w:val="18"/>
              </w:rPr>
            </w:pPr>
            <w:r>
              <w:rPr>
                <w:color w:val="000000"/>
                <w:sz w:val="18"/>
                <w:szCs w:val="18"/>
              </w:rPr>
              <w:t>33.95</w:t>
            </w:r>
          </w:p>
        </w:tc>
        <w:tc>
          <w:tcPr>
            <w:tcW w:w="474" w:type="pct"/>
            <w:noWrap w:val="0"/>
            <w:vAlign w:val="center"/>
          </w:tcPr>
          <w:p>
            <w:pPr>
              <w:pStyle w:val="10"/>
              <w:rPr>
                <w:color w:val="000000"/>
                <w:sz w:val="18"/>
                <w:szCs w:val="18"/>
              </w:rPr>
            </w:pPr>
            <w:r>
              <w:rPr>
                <w:color w:val="000000"/>
                <w:sz w:val="18"/>
                <w:szCs w:val="18"/>
              </w:rPr>
              <w:t>无腐蚀</w:t>
            </w:r>
          </w:p>
        </w:tc>
      </w:tr>
    </w:tbl>
    <w:p>
      <w:pPr>
        <w:ind w:firstLine="0" w:firstLineChars="0"/>
        <w:jc w:val="left"/>
        <w:rPr>
          <w:b/>
          <w:bCs/>
          <w:color w:val="000000"/>
          <w:szCs w:val="24"/>
        </w:rPr>
      </w:pPr>
    </w:p>
    <w:p>
      <w:pPr>
        <w:ind w:firstLine="0" w:firstLineChars="0"/>
        <w:jc w:val="left"/>
        <w:rPr>
          <w:b/>
          <w:bCs/>
          <w:color w:val="000000"/>
          <w:szCs w:val="24"/>
        </w:rPr>
      </w:pPr>
    </w:p>
    <w:p>
      <w:pPr>
        <w:ind w:firstLine="0" w:firstLineChars="0"/>
        <w:jc w:val="left"/>
        <w:rPr>
          <w:b/>
          <w:bCs/>
          <w:color w:val="000000"/>
          <w:szCs w:val="24"/>
        </w:rPr>
      </w:pPr>
    </w:p>
    <w:p>
      <w:pPr>
        <w:ind w:firstLine="0" w:firstLineChars="0"/>
        <w:jc w:val="left"/>
        <w:rPr>
          <w:b/>
          <w:bCs/>
          <w:color w:val="000000"/>
          <w:szCs w:val="24"/>
        </w:rPr>
      </w:pPr>
    </w:p>
    <w:p>
      <w:pPr>
        <w:ind w:firstLine="0" w:firstLineChars="0"/>
        <w:jc w:val="left"/>
        <w:rPr>
          <w:rFonts w:hint="eastAsia"/>
          <w:b/>
          <w:bCs/>
          <w:color w:val="000000"/>
          <w:szCs w:val="24"/>
        </w:rPr>
      </w:pPr>
    </w:p>
    <w:p>
      <w:pPr>
        <w:ind w:firstLine="0" w:firstLineChars="0"/>
        <w:jc w:val="left"/>
        <w:rPr>
          <w:color w:val="000000"/>
          <w:szCs w:val="24"/>
        </w:rPr>
      </w:pPr>
      <w:r>
        <w:rPr>
          <w:b/>
          <w:bCs/>
          <w:color w:val="000000"/>
          <w:szCs w:val="24"/>
        </w:rPr>
        <w:t>表1.4.2-2     环境水对钢结构及对钢筋砼结构中的钢筋腐蚀性评价表</w:t>
      </w:r>
    </w:p>
    <w:tbl>
      <w:tblPr>
        <w:tblStyle w:val="11"/>
        <w:tblW w:w="5000" w:type="pct"/>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539"/>
        <w:gridCol w:w="3360"/>
        <w:gridCol w:w="1400"/>
        <w:gridCol w:w="1120"/>
        <w:gridCol w:w="13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trPr>
        <w:tc>
          <w:tcPr>
            <w:tcW w:w="873" w:type="pct"/>
            <w:vMerge w:val="restart"/>
            <w:noWrap w:val="0"/>
            <w:vAlign w:val="center"/>
          </w:tcPr>
          <w:p>
            <w:pPr>
              <w:pStyle w:val="10"/>
              <w:ind w:firstLine="357"/>
              <w:rPr>
                <w:color w:val="000000"/>
                <w:sz w:val="18"/>
                <w:szCs w:val="18"/>
              </w:rPr>
            </w:pPr>
            <w:r>
              <w:rPr>
                <w:color w:val="000000"/>
                <w:sz w:val="18"/>
                <w:szCs w:val="18"/>
              </w:rPr>
              <w:t>水 样</w:t>
            </w:r>
          </w:p>
          <w:p>
            <w:pPr>
              <w:pStyle w:val="10"/>
              <w:ind w:firstLine="357"/>
              <w:rPr>
                <w:color w:val="000000"/>
                <w:sz w:val="18"/>
                <w:szCs w:val="18"/>
              </w:rPr>
            </w:pPr>
            <w:r>
              <w:rPr>
                <w:color w:val="000000"/>
                <w:sz w:val="18"/>
                <w:szCs w:val="18"/>
              </w:rPr>
              <w:t>编 号</w:t>
            </w:r>
          </w:p>
        </w:tc>
        <w:tc>
          <w:tcPr>
            <w:tcW w:w="2698" w:type="pct"/>
            <w:gridSpan w:val="2"/>
            <w:noWrap w:val="0"/>
            <w:vAlign w:val="center"/>
          </w:tcPr>
          <w:p>
            <w:pPr>
              <w:pStyle w:val="10"/>
              <w:ind w:firstLine="357"/>
              <w:rPr>
                <w:color w:val="000000"/>
                <w:sz w:val="18"/>
                <w:szCs w:val="18"/>
              </w:rPr>
            </w:pPr>
            <w:r>
              <w:rPr>
                <w:color w:val="000000"/>
                <w:sz w:val="18"/>
                <w:szCs w:val="18"/>
              </w:rPr>
              <w:t>对钢结构腐蚀性评价</w:t>
            </w:r>
          </w:p>
        </w:tc>
        <w:tc>
          <w:tcPr>
            <w:tcW w:w="1428" w:type="pct"/>
            <w:gridSpan w:val="2"/>
            <w:noWrap w:val="0"/>
            <w:vAlign w:val="center"/>
          </w:tcPr>
          <w:p>
            <w:pPr>
              <w:pStyle w:val="10"/>
              <w:ind w:firstLine="357"/>
              <w:rPr>
                <w:color w:val="000000"/>
                <w:sz w:val="18"/>
                <w:szCs w:val="18"/>
              </w:rPr>
            </w:pPr>
            <w:r>
              <w:rPr>
                <w:color w:val="000000"/>
                <w:sz w:val="18"/>
                <w:szCs w:val="18"/>
              </w:rPr>
              <w:t>对钢筋混凝土中的</w:t>
            </w:r>
          </w:p>
          <w:p>
            <w:pPr>
              <w:pStyle w:val="10"/>
              <w:ind w:firstLine="357"/>
              <w:rPr>
                <w:color w:val="000000"/>
                <w:sz w:val="18"/>
                <w:szCs w:val="18"/>
              </w:rPr>
            </w:pPr>
            <w:r>
              <w:rPr>
                <w:color w:val="000000"/>
                <w:sz w:val="18"/>
                <w:szCs w:val="18"/>
              </w:rPr>
              <w:t>钢筋腐蚀性评价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930" w:hRule="atLeast"/>
        </w:trPr>
        <w:tc>
          <w:tcPr>
            <w:tcW w:w="873" w:type="pct"/>
            <w:vMerge w:val="continue"/>
            <w:noWrap w:val="0"/>
            <w:vAlign w:val="top"/>
          </w:tcPr>
          <w:p>
            <w:pPr>
              <w:pStyle w:val="10"/>
              <w:ind w:firstLine="357"/>
              <w:rPr>
                <w:color w:val="000000"/>
                <w:sz w:val="18"/>
                <w:szCs w:val="18"/>
              </w:rPr>
            </w:pPr>
          </w:p>
        </w:tc>
        <w:tc>
          <w:tcPr>
            <w:tcW w:w="2698" w:type="pct"/>
            <w:gridSpan w:val="2"/>
            <w:noWrap w:val="0"/>
            <w:vAlign w:val="center"/>
          </w:tcPr>
          <w:p>
            <w:pPr>
              <w:pStyle w:val="10"/>
              <w:ind w:firstLine="357"/>
              <w:rPr>
                <w:color w:val="000000"/>
                <w:sz w:val="18"/>
                <w:szCs w:val="18"/>
              </w:rPr>
            </w:pPr>
            <w:r>
              <w:rPr>
                <w:color w:val="000000"/>
                <w:sz w:val="18"/>
                <w:szCs w:val="18"/>
              </w:rPr>
              <w:t>pH值3～11、（Cl</w:t>
            </w:r>
            <w:r>
              <w:rPr>
                <w:color w:val="000000"/>
                <w:sz w:val="18"/>
                <w:szCs w:val="18"/>
                <w:vertAlign w:val="superscript"/>
              </w:rPr>
              <w:t>-</w:t>
            </w: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）＜500 （mg/L）  弱腐蚀</w:t>
            </w:r>
          </w:p>
          <w:p>
            <w:pPr>
              <w:pStyle w:val="10"/>
              <w:ind w:firstLine="357"/>
              <w:rPr>
                <w:color w:val="000000"/>
                <w:sz w:val="18"/>
                <w:szCs w:val="18"/>
              </w:rPr>
            </w:pPr>
            <w:r>
              <w:rPr>
                <w:color w:val="000000"/>
                <w:sz w:val="18"/>
                <w:szCs w:val="18"/>
              </w:rPr>
              <w:t>pH值3～11、（Cl</w:t>
            </w:r>
            <w:r>
              <w:rPr>
                <w:color w:val="000000"/>
                <w:sz w:val="18"/>
                <w:szCs w:val="18"/>
                <w:vertAlign w:val="superscript"/>
              </w:rPr>
              <w:t>-</w:t>
            </w: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）≥500 （mg/L）  中等腐蚀</w:t>
            </w:r>
          </w:p>
          <w:p>
            <w:pPr>
              <w:pStyle w:val="10"/>
              <w:ind w:firstLine="357"/>
              <w:rPr>
                <w:color w:val="000000"/>
                <w:sz w:val="18"/>
                <w:szCs w:val="18"/>
              </w:rPr>
            </w:pPr>
            <w:r>
              <w:rPr>
                <w:color w:val="000000"/>
                <w:sz w:val="18"/>
                <w:szCs w:val="18"/>
              </w:rPr>
              <w:t>pH值＜3、（Cl</w:t>
            </w:r>
            <w:r>
              <w:rPr>
                <w:color w:val="000000"/>
                <w:sz w:val="18"/>
                <w:szCs w:val="18"/>
                <w:vertAlign w:val="superscript"/>
              </w:rPr>
              <w:t>-</w:t>
            </w: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）任何浓度 （mg/L） 强腐蚀</w:t>
            </w:r>
          </w:p>
        </w:tc>
        <w:tc>
          <w:tcPr>
            <w:tcW w:w="1428" w:type="pct"/>
            <w:gridSpan w:val="2"/>
            <w:noWrap w:val="0"/>
            <w:vAlign w:val="center"/>
          </w:tcPr>
          <w:p>
            <w:pPr>
              <w:pStyle w:val="10"/>
              <w:ind w:firstLine="357"/>
              <w:rPr>
                <w:color w:val="000000"/>
                <w:sz w:val="18"/>
                <w:szCs w:val="18"/>
              </w:rPr>
            </w:pPr>
            <w:r>
              <w:rPr>
                <w:color w:val="000000"/>
                <w:sz w:val="18"/>
                <w:szCs w:val="18"/>
              </w:rPr>
              <w:t>Cl</w:t>
            </w:r>
            <w:r>
              <w:rPr>
                <w:color w:val="000000"/>
                <w:sz w:val="18"/>
                <w:szCs w:val="18"/>
                <w:vertAlign w:val="superscript"/>
              </w:rPr>
              <w:t>-</w:t>
            </w:r>
            <w:r>
              <w:rPr>
                <w:color w:val="000000"/>
                <w:sz w:val="18"/>
                <w:szCs w:val="18"/>
              </w:rPr>
              <w:t>= Cl</w:t>
            </w:r>
            <w:r>
              <w:rPr>
                <w:color w:val="000000"/>
                <w:sz w:val="18"/>
                <w:szCs w:val="18"/>
                <w:vertAlign w:val="superscript"/>
              </w:rPr>
              <w:t>-</w:t>
            </w:r>
            <w:r>
              <w:rPr>
                <w:color w:val="000000"/>
                <w:sz w:val="18"/>
                <w:szCs w:val="18"/>
              </w:rPr>
              <w:t>+ SO</w:t>
            </w:r>
            <w:r>
              <w:rPr>
                <w:color w:val="000000"/>
                <w:sz w:val="18"/>
                <w:szCs w:val="18"/>
                <w:vertAlign w:val="subscript"/>
              </w:rPr>
              <w:t>4</w:t>
            </w:r>
            <w:r>
              <w:rPr>
                <w:color w:val="000000"/>
                <w:sz w:val="18"/>
                <w:szCs w:val="18"/>
                <w:vertAlign w:val="superscript"/>
              </w:rPr>
              <w:t>2-</w:t>
            </w:r>
            <w:r>
              <w:rPr>
                <w:color w:val="000000"/>
                <w:sz w:val="18"/>
                <w:szCs w:val="18"/>
              </w:rPr>
              <w:t>×0.25（mg/L）</w:t>
            </w:r>
          </w:p>
          <w:p>
            <w:pPr>
              <w:pStyle w:val="10"/>
              <w:ind w:firstLine="357"/>
              <w:rPr>
                <w:color w:val="000000"/>
                <w:sz w:val="18"/>
                <w:szCs w:val="18"/>
              </w:rPr>
            </w:pPr>
            <w:r>
              <w:rPr>
                <w:color w:val="000000"/>
                <w:sz w:val="18"/>
                <w:szCs w:val="18"/>
              </w:rPr>
              <w:t>弱腐蚀  100～500</w:t>
            </w:r>
          </w:p>
          <w:p>
            <w:pPr>
              <w:pStyle w:val="10"/>
              <w:ind w:firstLine="357"/>
              <w:rPr>
                <w:color w:val="000000"/>
                <w:sz w:val="18"/>
                <w:szCs w:val="18"/>
              </w:rPr>
            </w:pPr>
            <w:r>
              <w:rPr>
                <w:color w:val="000000"/>
                <w:sz w:val="18"/>
                <w:szCs w:val="18"/>
              </w:rPr>
              <w:t>中腐蚀  500～5000</w:t>
            </w:r>
          </w:p>
          <w:p>
            <w:pPr>
              <w:pStyle w:val="10"/>
              <w:ind w:firstLine="357"/>
              <w:rPr>
                <w:color w:val="000000"/>
                <w:sz w:val="18"/>
                <w:szCs w:val="18"/>
              </w:rPr>
            </w:pPr>
            <w:r>
              <w:rPr>
                <w:color w:val="000000"/>
                <w:sz w:val="18"/>
                <w:szCs w:val="18"/>
              </w:rPr>
              <w:t>强腐蚀  ＞5000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73" w:type="pct"/>
            <w:vMerge w:val="continue"/>
            <w:noWrap w:val="0"/>
            <w:vAlign w:val="top"/>
          </w:tcPr>
          <w:p>
            <w:pPr>
              <w:pStyle w:val="10"/>
              <w:ind w:firstLine="357"/>
              <w:rPr>
                <w:color w:val="000000"/>
                <w:sz w:val="18"/>
                <w:szCs w:val="18"/>
              </w:rPr>
            </w:pPr>
          </w:p>
        </w:tc>
        <w:tc>
          <w:tcPr>
            <w:tcW w:w="1905" w:type="pct"/>
            <w:noWrap w:val="0"/>
            <w:vAlign w:val="center"/>
          </w:tcPr>
          <w:p>
            <w:pPr>
              <w:pStyle w:val="10"/>
              <w:ind w:firstLine="357"/>
              <w:rPr>
                <w:color w:val="000000"/>
                <w:sz w:val="18"/>
                <w:szCs w:val="18"/>
              </w:rPr>
            </w:pPr>
            <w:r>
              <w:rPr>
                <w:color w:val="000000"/>
                <w:sz w:val="18"/>
                <w:szCs w:val="18"/>
              </w:rPr>
              <w:t>指标</w:t>
            </w:r>
          </w:p>
        </w:tc>
        <w:tc>
          <w:tcPr>
            <w:tcW w:w="794" w:type="pct"/>
            <w:noWrap w:val="0"/>
            <w:vAlign w:val="center"/>
          </w:tcPr>
          <w:p>
            <w:pPr>
              <w:pStyle w:val="10"/>
              <w:ind w:firstLine="357"/>
              <w:rPr>
                <w:color w:val="000000"/>
                <w:sz w:val="18"/>
                <w:szCs w:val="18"/>
              </w:rPr>
            </w:pPr>
            <w:r>
              <w:rPr>
                <w:color w:val="000000"/>
                <w:sz w:val="18"/>
                <w:szCs w:val="18"/>
              </w:rPr>
              <w:t>评价</w:t>
            </w:r>
          </w:p>
        </w:tc>
        <w:tc>
          <w:tcPr>
            <w:tcW w:w="635" w:type="pct"/>
            <w:noWrap w:val="0"/>
            <w:vAlign w:val="center"/>
          </w:tcPr>
          <w:p>
            <w:pPr>
              <w:pStyle w:val="10"/>
              <w:ind w:firstLine="357"/>
              <w:rPr>
                <w:color w:val="000000"/>
                <w:sz w:val="18"/>
                <w:szCs w:val="18"/>
              </w:rPr>
            </w:pPr>
            <w:r>
              <w:rPr>
                <w:color w:val="000000"/>
                <w:sz w:val="18"/>
                <w:szCs w:val="18"/>
              </w:rPr>
              <w:t>指标</w:t>
            </w:r>
          </w:p>
        </w:tc>
        <w:tc>
          <w:tcPr>
            <w:tcW w:w="793" w:type="pct"/>
            <w:noWrap w:val="0"/>
            <w:vAlign w:val="center"/>
          </w:tcPr>
          <w:p>
            <w:pPr>
              <w:pStyle w:val="10"/>
              <w:ind w:firstLine="357"/>
              <w:rPr>
                <w:color w:val="000000"/>
                <w:sz w:val="18"/>
                <w:szCs w:val="18"/>
              </w:rPr>
            </w:pPr>
            <w:r>
              <w:rPr>
                <w:color w:val="000000"/>
                <w:sz w:val="18"/>
                <w:szCs w:val="18"/>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73" w:type="pct"/>
            <w:noWrap w:val="0"/>
            <w:vAlign w:val="center"/>
          </w:tcPr>
          <w:p>
            <w:pPr>
              <w:pStyle w:val="10"/>
              <w:ind w:firstLine="357"/>
              <w:rPr>
                <w:color w:val="000000"/>
                <w:sz w:val="18"/>
                <w:szCs w:val="18"/>
              </w:rPr>
            </w:pPr>
            <w:r>
              <w:rPr>
                <w:color w:val="000000"/>
                <w:sz w:val="18"/>
                <w:szCs w:val="18"/>
              </w:rPr>
              <w:t>DB1（渠道水）</w:t>
            </w:r>
          </w:p>
        </w:tc>
        <w:tc>
          <w:tcPr>
            <w:tcW w:w="1905" w:type="pct"/>
            <w:noWrap w:val="0"/>
            <w:vAlign w:val="center"/>
          </w:tcPr>
          <w:p>
            <w:pPr>
              <w:pStyle w:val="10"/>
              <w:ind w:firstLine="357"/>
              <w:rPr>
                <w:color w:val="000000"/>
                <w:sz w:val="18"/>
                <w:szCs w:val="18"/>
              </w:rPr>
            </w:pPr>
            <w:r>
              <w:rPr>
                <w:color w:val="000000"/>
                <w:sz w:val="18"/>
                <w:szCs w:val="18"/>
              </w:rPr>
              <w:t>pH值＝7.74（Cl</w:t>
            </w:r>
            <w:r>
              <w:rPr>
                <w:color w:val="000000"/>
                <w:sz w:val="18"/>
                <w:szCs w:val="18"/>
                <w:vertAlign w:val="superscript"/>
              </w:rPr>
              <w:t>-</w:t>
            </w: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）=36.03</w:t>
            </w:r>
          </w:p>
        </w:tc>
        <w:tc>
          <w:tcPr>
            <w:tcW w:w="794" w:type="pct"/>
            <w:noWrap w:val="0"/>
            <w:vAlign w:val="center"/>
          </w:tcPr>
          <w:p>
            <w:pPr>
              <w:pStyle w:val="10"/>
              <w:ind w:firstLine="357"/>
              <w:rPr>
                <w:color w:val="000000"/>
                <w:sz w:val="18"/>
                <w:szCs w:val="18"/>
              </w:rPr>
            </w:pPr>
            <w:r>
              <w:rPr>
                <w:color w:val="000000"/>
                <w:sz w:val="18"/>
                <w:szCs w:val="18"/>
              </w:rPr>
              <w:t>弱腐蚀</w:t>
            </w:r>
          </w:p>
        </w:tc>
        <w:tc>
          <w:tcPr>
            <w:tcW w:w="635" w:type="pct"/>
            <w:noWrap w:val="0"/>
            <w:vAlign w:val="center"/>
          </w:tcPr>
          <w:p>
            <w:pPr>
              <w:pStyle w:val="10"/>
              <w:ind w:firstLine="357"/>
              <w:rPr>
                <w:color w:val="000000"/>
                <w:sz w:val="18"/>
                <w:szCs w:val="18"/>
              </w:rPr>
            </w:pPr>
            <w:r>
              <w:rPr>
                <w:color w:val="000000"/>
                <w:sz w:val="18"/>
                <w:szCs w:val="18"/>
              </w:rPr>
              <w:t>23.32</w:t>
            </w:r>
          </w:p>
        </w:tc>
        <w:tc>
          <w:tcPr>
            <w:tcW w:w="793" w:type="pct"/>
            <w:noWrap w:val="0"/>
            <w:vAlign w:val="center"/>
          </w:tcPr>
          <w:p>
            <w:pPr>
              <w:pStyle w:val="10"/>
              <w:ind w:firstLine="357"/>
              <w:rPr>
                <w:color w:val="000000"/>
                <w:sz w:val="18"/>
                <w:szCs w:val="18"/>
              </w:rPr>
            </w:pPr>
            <w:r>
              <w:rPr>
                <w:color w:val="000000"/>
                <w:sz w:val="18"/>
                <w:szCs w:val="18"/>
              </w:rPr>
              <w:t>弱腐蚀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73" w:type="pct"/>
            <w:noWrap w:val="0"/>
            <w:vAlign w:val="center"/>
          </w:tcPr>
          <w:p>
            <w:pPr>
              <w:pStyle w:val="10"/>
              <w:ind w:firstLine="357"/>
              <w:rPr>
                <w:color w:val="000000"/>
                <w:sz w:val="18"/>
                <w:szCs w:val="18"/>
              </w:rPr>
            </w:pPr>
            <w:r>
              <w:rPr>
                <w:color w:val="000000"/>
                <w:sz w:val="18"/>
                <w:szCs w:val="18"/>
              </w:rPr>
              <w:t>DB2（渠道水）</w:t>
            </w:r>
          </w:p>
        </w:tc>
        <w:tc>
          <w:tcPr>
            <w:tcW w:w="1905" w:type="pct"/>
            <w:noWrap w:val="0"/>
            <w:vAlign w:val="center"/>
          </w:tcPr>
          <w:p>
            <w:pPr>
              <w:pStyle w:val="10"/>
              <w:ind w:firstLine="357"/>
              <w:rPr>
                <w:color w:val="000000"/>
                <w:sz w:val="18"/>
                <w:szCs w:val="18"/>
              </w:rPr>
            </w:pPr>
            <w:r>
              <w:rPr>
                <w:color w:val="000000"/>
                <w:sz w:val="18"/>
                <w:szCs w:val="18"/>
              </w:rPr>
              <w:t>pH值＝7.52（Cl</w:t>
            </w:r>
            <w:r>
              <w:rPr>
                <w:color w:val="000000"/>
                <w:sz w:val="18"/>
                <w:szCs w:val="18"/>
                <w:vertAlign w:val="superscript"/>
              </w:rPr>
              <w:t>-</w:t>
            </w: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）=22.12</w:t>
            </w:r>
          </w:p>
        </w:tc>
        <w:tc>
          <w:tcPr>
            <w:tcW w:w="794" w:type="pct"/>
            <w:noWrap w:val="0"/>
            <w:vAlign w:val="center"/>
          </w:tcPr>
          <w:p>
            <w:pPr>
              <w:pStyle w:val="10"/>
              <w:ind w:firstLine="357"/>
              <w:rPr>
                <w:color w:val="000000"/>
                <w:sz w:val="18"/>
                <w:szCs w:val="18"/>
              </w:rPr>
            </w:pPr>
            <w:r>
              <w:rPr>
                <w:color w:val="000000"/>
                <w:sz w:val="18"/>
                <w:szCs w:val="18"/>
              </w:rPr>
              <w:t>弱腐蚀</w:t>
            </w:r>
          </w:p>
        </w:tc>
        <w:tc>
          <w:tcPr>
            <w:tcW w:w="635" w:type="pct"/>
            <w:noWrap w:val="0"/>
            <w:vAlign w:val="center"/>
          </w:tcPr>
          <w:p>
            <w:pPr>
              <w:pStyle w:val="10"/>
              <w:ind w:firstLine="357"/>
              <w:rPr>
                <w:color w:val="000000"/>
                <w:sz w:val="18"/>
                <w:szCs w:val="18"/>
              </w:rPr>
            </w:pPr>
            <w:r>
              <w:rPr>
                <w:color w:val="000000"/>
                <w:sz w:val="18"/>
                <w:szCs w:val="18"/>
              </w:rPr>
              <w:t>12.95</w:t>
            </w:r>
          </w:p>
        </w:tc>
        <w:tc>
          <w:tcPr>
            <w:tcW w:w="793" w:type="pct"/>
            <w:noWrap w:val="0"/>
            <w:vAlign w:val="center"/>
          </w:tcPr>
          <w:p>
            <w:pPr>
              <w:pStyle w:val="10"/>
              <w:ind w:firstLine="357"/>
              <w:rPr>
                <w:color w:val="000000"/>
                <w:sz w:val="18"/>
                <w:szCs w:val="18"/>
              </w:rPr>
            </w:pPr>
            <w:r>
              <w:rPr>
                <w:color w:val="000000"/>
                <w:sz w:val="18"/>
                <w:szCs w:val="18"/>
              </w:rPr>
              <w:t>弱腐蚀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873" w:type="pct"/>
            <w:noWrap w:val="0"/>
            <w:vAlign w:val="center"/>
          </w:tcPr>
          <w:p>
            <w:pPr>
              <w:pStyle w:val="10"/>
              <w:ind w:firstLine="357"/>
              <w:rPr>
                <w:color w:val="000000"/>
                <w:sz w:val="18"/>
                <w:szCs w:val="18"/>
              </w:rPr>
            </w:pPr>
            <w:r>
              <w:rPr>
                <w:color w:val="000000"/>
                <w:sz w:val="18"/>
                <w:szCs w:val="18"/>
              </w:rPr>
              <w:t>DX1（地下水）</w:t>
            </w:r>
          </w:p>
        </w:tc>
        <w:tc>
          <w:tcPr>
            <w:tcW w:w="1905" w:type="pct"/>
            <w:noWrap w:val="0"/>
            <w:vAlign w:val="center"/>
          </w:tcPr>
          <w:p>
            <w:pPr>
              <w:pStyle w:val="10"/>
              <w:ind w:firstLine="357"/>
              <w:rPr>
                <w:color w:val="000000"/>
                <w:sz w:val="18"/>
                <w:szCs w:val="18"/>
              </w:rPr>
            </w:pPr>
            <w:r>
              <w:rPr>
                <w:color w:val="000000"/>
                <w:sz w:val="18"/>
                <w:szCs w:val="18"/>
              </w:rPr>
              <w:t>pH值＝7.32（Cl</w:t>
            </w:r>
            <w:r>
              <w:rPr>
                <w:color w:val="000000"/>
                <w:sz w:val="18"/>
                <w:szCs w:val="18"/>
                <w:vertAlign w:val="superscript"/>
              </w:rPr>
              <w:t>-</w:t>
            </w: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）=50.77</w:t>
            </w:r>
          </w:p>
        </w:tc>
        <w:tc>
          <w:tcPr>
            <w:tcW w:w="794" w:type="pct"/>
            <w:noWrap w:val="0"/>
            <w:vAlign w:val="center"/>
          </w:tcPr>
          <w:p>
            <w:pPr>
              <w:pStyle w:val="10"/>
              <w:ind w:firstLine="357"/>
              <w:rPr>
                <w:color w:val="000000"/>
                <w:sz w:val="18"/>
                <w:szCs w:val="18"/>
              </w:rPr>
            </w:pPr>
            <w:r>
              <w:rPr>
                <w:color w:val="000000"/>
                <w:sz w:val="18"/>
                <w:szCs w:val="18"/>
              </w:rPr>
              <w:t>弱腐蚀</w:t>
            </w:r>
          </w:p>
        </w:tc>
        <w:tc>
          <w:tcPr>
            <w:tcW w:w="635" w:type="pct"/>
            <w:noWrap w:val="0"/>
            <w:vAlign w:val="center"/>
          </w:tcPr>
          <w:p>
            <w:pPr>
              <w:pStyle w:val="10"/>
              <w:ind w:firstLine="357"/>
              <w:rPr>
                <w:color w:val="000000"/>
                <w:sz w:val="18"/>
                <w:szCs w:val="18"/>
              </w:rPr>
            </w:pPr>
            <w:r>
              <w:rPr>
                <w:color w:val="000000"/>
                <w:sz w:val="18"/>
                <w:szCs w:val="18"/>
              </w:rPr>
              <w:t>25.30</w:t>
            </w:r>
          </w:p>
        </w:tc>
        <w:tc>
          <w:tcPr>
            <w:tcW w:w="793" w:type="pct"/>
            <w:noWrap w:val="0"/>
            <w:vAlign w:val="center"/>
          </w:tcPr>
          <w:p>
            <w:pPr>
              <w:pStyle w:val="10"/>
              <w:ind w:firstLine="357"/>
              <w:rPr>
                <w:color w:val="000000"/>
                <w:sz w:val="18"/>
                <w:szCs w:val="18"/>
              </w:rPr>
            </w:pPr>
            <w:r>
              <w:rPr>
                <w:color w:val="000000"/>
                <w:sz w:val="18"/>
                <w:szCs w:val="18"/>
              </w:rPr>
              <w:t>弱腐蚀</w:t>
            </w:r>
          </w:p>
        </w:tc>
      </w:tr>
    </w:tbl>
    <w:p>
      <w:pPr>
        <w:spacing w:after="3"/>
        <w:ind w:left="2" w:right="2" w:firstLine="480"/>
        <w:rPr>
          <w:color w:val="000000"/>
        </w:rPr>
      </w:pPr>
      <w:r>
        <w:rPr>
          <w:color w:val="000000"/>
        </w:rPr>
        <w:t>地表水砼无腐蚀性、地下水对砼有碳酸型中等腐蚀。环境水对钢结构及对钢筋砼结构中的钢筋均存在弱腐蚀性。</w:t>
      </w:r>
    </w:p>
    <w:p>
      <w:pPr>
        <w:pStyle w:val="4"/>
        <w:rPr>
          <w:color w:val="000000"/>
        </w:rPr>
      </w:pPr>
      <w:r>
        <w:rPr>
          <w:color w:val="000000"/>
        </w:rPr>
        <w:t>1.4.3</w:t>
      </w:r>
      <w:r>
        <w:rPr>
          <w:rFonts w:hint="eastAsia"/>
          <w:color w:val="000000"/>
        </w:rPr>
        <w:t>工程地质条件</w:t>
      </w:r>
    </w:p>
    <w:p>
      <w:pPr>
        <w:spacing w:after="3"/>
        <w:ind w:left="2" w:right="2" w:firstLine="480"/>
        <w:rPr>
          <w:color w:val="000000"/>
        </w:rPr>
      </w:pPr>
      <w:r>
        <w:rPr>
          <w:rFonts w:hint="eastAsia"/>
          <w:color w:val="000000"/>
        </w:rPr>
        <w:t>根据工程区地质测绘，未发现大的崩塌、滑坡、泥石流等不良地质现象。</w:t>
      </w:r>
    </w:p>
    <w:p>
      <w:pPr>
        <w:pStyle w:val="5"/>
        <w:rPr>
          <w:rFonts w:ascii="宋体" w:hAnsi="宋体"/>
          <w:color w:val="000000"/>
        </w:rPr>
      </w:pPr>
      <w:r>
        <w:rPr>
          <w:color w:val="000000"/>
        </w:rPr>
        <w:t>1.4.3.1</w:t>
      </w:r>
      <w:r>
        <w:rPr>
          <w:rFonts w:hint="eastAsia" w:ascii="宋体" w:hAnsi="宋体"/>
          <w:color w:val="000000"/>
        </w:rPr>
        <w:t>渠道工程地质评价</w:t>
      </w:r>
    </w:p>
    <w:p>
      <w:pPr>
        <w:ind w:firstLine="480"/>
        <w:rPr>
          <w:color w:val="000000"/>
        </w:rPr>
      </w:pPr>
      <w:r>
        <w:rPr>
          <w:rFonts w:hint="eastAsia"/>
          <w:color w:val="000000"/>
        </w:rPr>
        <w:t>本规划渠道为砼矩形槽，渠道所在的地貌单元均为高漫滩。表部岩性为第四系全新统冲积堆积的粘土、壤土，其下为第四系全新统冲积堆积的砂壤土。</w:t>
      </w:r>
    </w:p>
    <w:p>
      <w:pPr>
        <w:ind w:firstLine="480"/>
        <w:rPr>
          <w:color w:val="000000"/>
        </w:rPr>
      </w:pPr>
      <w:r>
        <w:rPr>
          <w:color w:val="000000"/>
        </w:rPr>
        <w:t>（1）沉陷稳定问题</w:t>
      </w:r>
    </w:p>
    <w:p>
      <w:pPr>
        <w:ind w:firstLine="480"/>
        <w:rPr>
          <w:color w:val="000000"/>
        </w:rPr>
      </w:pPr>
      <w:r>
        <w:rPr>
          <w:color w:val="000000"/>
        </w:rPr>
        <w:t>砼矩形槽可坐于粘土层、壤土层上，沉陷稳定受其控制。其压缩系数为0.386～0.396MPa</w:t>
      </w:r>
      <w:r>
        <w:rPr>
          <w:color w:val="000000"/>
          <w:vertAlign w:val="superscript"/>
        </w:rPr>
        <w:t>-1</w:t>
      </w:r>
      <w:r>
        <w:rPr>
          <w:color w:val="000000"/>
        </w:rPr>
        <w:t>，均属中压缩性土，由于上覆荷载较小，沉陷稳定问题不大。建议清除渠底受渠水长期浸润层，一般为0.50～0.70m。矩形槽若同时坐于壤土层、砂壤土层时应注意不均匀沉降问题。</w:t>
      </w:r>
    </w:p>
    <w:p>
      <w:pPr>
        <w:ind w:firstLine="480"/>
        <w:rPr>
          <w:color w:val="000000"/>
          <w:szCs w:val="24"/>
        </w:rPr>
      </w:pPr>
      <w:r>
        <w:rPr>
          <w:color w:val="000000"/>
          <w:szCs w:val="24"/>
        </w:rPr>
        <w:t>（2）边坡问题</w:t>
      </w:r>
    </w:p>
    <w:p>
      <w:pPr>
        <w:ind w:firstLine="480"/>
        <w:rPr>
          <w:color w:val="000000"/>
          <w:szCs w:val="24"/>
        </w:rPr>
      </w:pPr>
      <w:r>
        <w:rPr>
          <w:color w:val="000000"/>
          <w:szCs w:val="24"/>
        </w:rPr>
        <w:t>边坡岩性为粘土层、壤土层，临时边坡高度一般为0.80～1.50m，最大边坡高度为2.50m，建议设计参照建议设计地质参数指标表选定稳定边坡；</w:t>
      </w:r>
    </w:p>
    <w:p>
      <w:pPr>
        <w:ind w:firstLine="480"/>
        <w:rPr>
          <w:color w:val="000000"/>
          <w:szCs w:val="24"/>
        </w:rPr>
      </w:pPr>
      <w:r>
        <w:rPr>
          <w:color w:val="000000"/>
          <w:szCs w:val="24"/>
        </w:rPr>
        <w:t>永久边坡最大边坡高度为5.00m，存在边坡稳定问题，建议设计进行边坡稳定验算，根据需要采取相应处理。</w:t>
      </w:r>
    </w:p>
    <w:p>
      <w:pPr>
        <w:ind w:firstLine="480"/>
        <w:rPr>
          <w:color w:val="000000"/>
          <w:szCs w:val="24"/>
        </w:rPr>
      </w:pPr>
      <w:r>
        <w:rPr>
          <w:color w:val="000000"/>
          <w:szCs w:val="24"/>
        </w:rPr>
        <w:t>（3）震陷问题</w:t>
      </w:r>
    </w:p>
    <w:p>
      <w:pPr>
        <w:ind w:firstLine="480"/>
        <w:rPr>
          <w:color w:val="000000"/>
          <w:szCs w:val="24"/>
        </w:rPr>
      </w:pPr>
      <w:r>
        <w:rPr>
          <w:color w:val="000000"/>
          <w:szCs w:val="24"/>
        </w:rPr>
        <w:t>工程区基本地震动峰值加速度为0.05g，相应地震基本烈度为</w:t>
      </w:r>
      <w:r>
        <w:rPr>
          <w:rFonts w:hint="eastAsia" w:ascii="宋体" w:hAnsi="宋体" w:cs="宋体"/>
          <w:color w:val="000000"/>
          <w:szCs w:val="24"/>
        </w:rPr>
        <w:t>Ⅵ</w:t>
      </w:r>
      <w:r>
        <w:rPr>
          <w:color w:val="000000"/>
          <w:szCs w:val="24"/>
        </w:rPr>
        <w:t>度区，属相对稳定区，震陷问题不大。</w:t>
      </w:r>
    </w:p>
    <w:p>
      <w:pPr>
        <w:ind w:firstLine="480"/>
        <w:rPr>
          <w:color w:val="000000"/>
          <w:szCs w:val="24"/>
        </w:rPr>
      </w:pPr>
      <w:r>
        <w:rPr>
          <w:color w:val="000000"/>
          <w:szCs w:val="24"/>
        </w:rPr>
        <w:t>（4）冻害问题</w:t>
      </w:r>
    </w:p>
    <w:p>
      <w:pPr>
        <w:ind w:firstLine="480"/>
        <w:rPr>
          <w:color w:val="000000"/>
          <w:szCs w:val="24"/>
        </w:rPr>
      </w:pPr>
      <w:r>
        <w:rPr>
          <w:color w:val="000000"/>
          <w:szCs w:val="24"/>
        </w:rPr>
        <w:t>标准冻深范围内岩性为粘土层、壤土层、砂壤土层。粘土层粘粉粒含量为87.9%、壤土层粘粉粒含量为66.5%，砂壤土层粘粉粒含量为27.2%，根据《水工建筑物抗冰冻设计规程》（GB/T50662-2011），粒径小于0.075mm的土粒质量均大于总量10％，为冻胀性土，存在冻害问题。</w:t>
      </w:r>
    </w:p>
    <w:p>
      <w:pPr>
        <w:ind w:firstLine="480"/>
        <w:rPr>
          <w:color w:val="000000"/>
          <w:szCs w:val="24"/>
        </w:rPr>
      </w:pPr>
      <w:r>
        <w:rPr>
          <w:color w:val="000000"/>
          <w:szCs w:val="24"/>
        </w:rPr>
        <w:t>（5）浸没及盐渍化问题</w:t>
      </w:r>
    </w:p>
    <w:p>
      <w:pPr>
        <w:ind w:firstLine="480"/>
        <w:rPr>
          <w:color w:val="000000"/>
          <w:szCs w:val="24"/>
        </w:rPr>
      </w:pPr>
      <w:r>
        <w:rPr>
          <w:color w:val="000000"/>
          <w:szCs w:val="24"/>
        </w:rPr>
        <w:t>因渠道铺设砼矩形槽，浸没及盐渍化问题不大。</w:t>
      </w:r>
    </w:p>
    <w:p>
      <w:pPr>
        <w:pStyle w:val="5"/>
        <w:rPr>
          <w:rFonts w:ascii="宋体" w:hAnsi="宋体"/>
          <w:color w:val="000000"/>
        </w:rPr>
      </w:pPr>
      <w:r>
        <w:rPr>
          <w:color w:val="000000"/>
        </w:rPr>
        <w:t>1.4.3.2</w:t>
      </w:r>
      <w:r>
        <w:rPr>
          <w:rFonts w:hint="eastAsia" w:ascii="宋体" w:hAnsi="宋体"/>
          <w:color w:val="000000"/>
        </w:rPr>
        <w:t>道路工程地质评价</w:t>
      </w:r>
    </w:p>
    <w:p>
      <w:pPr>
        <w:ind w:firstLine="480"/>
        <w:rPr>
          <w:rFonts w:hint="eastAsia"/>
          <w:color w:val="000000"/>
        </w:rPr>
      </w:pPr>
      <w:r>
        <w:rPr>
          <w:rFonts w:hint="eastAsia"/>
          <w:color w:val="000000"/>
        </w:rPr>
        <w:t>本规划工程道路现状均为农耕土路，本次对已有道路进行加固，路面铺设水泥混凝土。道路地貌单元均为高漫滩。</w:t>
      </w:r>
    </w:p>
    <w:p>
      <w:pPr>
        <w:ind w:firstLine="0" w:firstLineChars="0"/>
        <w:rPr>
          <w:rFonts w:hint="eastAsia"/>
          <w:color w:val="000000"/>
        </w:rPr>
      </w:pPr>
      <w:r>
        <w:rPr>
          <w:rFonts w:hint="eastAsia"/>
          <w:color w:val="000000"/>
        </w:rPr>
        <w:t>（1）地基强度</w:t>
      </w:r>
    </w:p>
    <w:p>
      <w:pPr>
        <w:ind w:firstLine="0" w:firstLineChars="0"/>
        <w:rPr>
          <w:rFonts w:hint="eastAsia"/>
          <w:color w:val="000000"/>
        </w:rPr>
      </w:pPr>
      <w:r>
        <w:rPr>
          <w:rFonts w:hint="eastAsia"/>
          <w:color w:val="000000"/>
        </w:rPr>
        <w:t>道路路面及路基岩性为第四系全新统人工堆积的壤土层，第四系全新统风积堆积的壤土层，第四系全新统冲积堆积的粘土层、壤土层。壤土层承载力fak=160kPa；壤土层承载力fak=170kPa；粘土层承载力fak=160kPa；壤土层承载力fak=160kPa。</w:t>
      </w:r>
    </w:p>
    <w:p>
      <w:pPr>
        <w:ind w:firstLine="480"/>
        <w:rPr>
          <w:rFonts w:hint="eastAsia"/>
          <w:color w:val="000000"/>
        </w:rPr>
      </w:pPr>
      <w:r>
        <w:rPr>
          <w:rFonts w:hint="eastAsia"/>
          <w:color w:val="000000"/>
        </w:rPr>
        <w:t>本工程涉及道路均为已成田间道路，经多年使用，部分土路因降雨积水及车辆通行存在很深的车辙；水田间道路含水量较高，强度相对偏低。建议对存在问题路基采取工程处理措施后再进行路面铺设。</w:t>
      </w:r>
    </w:p>
    <w:p>
      <w:pPr>
        <w:ind w:firstLine="0" w:firstLineChars="0"/>
        <w:rPr>
          <w:rFonts w:hint="eastAsia"/>
          <w:color w:val="000000"/>
        </w:rPr>
      </w:pPr>
      <w:r>
        <w:rPr>
          <w:rFonts w:hint="eastAsia"/>
          <w:color w:val="000000"/>
        </w:rPr>
        <w:t>（2）沉陷稳定问题</w:t>
      </w:r>
    </w:p>
    <w:p>
      <w:pPr>
        <w:ind w:firstLine="480"/>
        <w:rPr>
          <w:rFonts w:hint="eastAsia"/>
          <w:color w:val="000000"/>
        </w:rPr>
      </w:pPr>
      <w:r>
        <w:rPr>
          <w:rFonts w:hint="eastAsia"/>
          <w:color w:val="000000"/>
        </w:rPr>
        <w:t>壤土层、粘土层、壤土层压缩系数为a1-2=0.171～0.396MPa-1，均为中压缩性土，沉陷稳定问题不大。</w:t>
      </w:r>
    </w:p>
    <w:p>
      <w:pPr>
        <w:ind w:firstLine="0" w:firstLineChars="0"/>
        <w:rPr>
          <w:rFonts w:hint="eastAsia"/>
          <w:color w:val="000000"/>
        </w:rPr>
      </w:pPr>
      <w:r>
        <w:rPr>
          <w:rFonts w:hint="eastAsia"/>
          <w:color w:val="000000"/>
        </w:rPr>
        <w:t>（3）冻害问题</w:t>
      </w:r>
    </w:p>
    <w:p>
      <w:pPr>
        <w:ind w:firstLine="480"/>
        <w:rPr>
          <w:rFonts w:hint="eastAsia"/>
          <w:color w:val="000000"/>
          <w:szCs w:val="24"/>
        </w:rPr>
      </w:pPr>
      <w:r>
        <w:rPr>
          <w:rFonts w:hint="eastAsia"/>
          <w:color w:val="000000"/>
        </w:rPr>
        <w:t>标准冻深范围内岩性为壤土层、粘土层、壤土层、砂壤土层。壤土层粘粉粒含量为42.4%、粘土层粘粉粒含量为87.9%、壤土层粘粉粒含量为66.5%，砂壤土层粘粉粒含量为27.2%，根据《水工建筑物抗冰冻设计规程》（GB/T50662-2011），粒径小于0.075mm的土粒质量均大于总量10％，为冻胀性土，存在冻害问题。</w:t>
      </w:r>
    </w:p>
    <w:p>
      <w:pPr>
        <w:pStyle w:val="3"/>
        <w:rPr>
          <w:color w:val="000000"/>
        </w:rPr>
      </w:pPr>
      <w:bookmarkStart w:id="11" w:name="_Toc119750171"/>
      <w:r>
        <w:rPr>
          <w:color w:val="000000"/>
        </w:rPr>
        <w:t>1.5</w:t>
      </w:r>
      <w:r>
        <w:rPr>
          <w:rFonts w:hint="eastAsia"/>
          <w:color w:val="000000"/>
        </w:rPr>
        <w:t>土地利用现状</w:t>
      </w:r>
      <w:bookmarkEnd w:id="11"/>
    </w:p>
    <w:p>
      <w:pPr>
        <w:ind w:firstLine="480"/>
        <w:rPr>
          <w:color w:val="000000"/>
        </w:rPr>
      </w:pPr>
      <w:r>
        <w:rPr>
          <w:rFonts w:hint="eastAsia"/>
          <w:color w:val="000000"/>
        </w:rPr>
        <w:t>镇赉县现有耕地</w:t>
      </w:r>
      <w:r>
        <w:rPr>
          <w:color w:val="000000"/>
        </w:rPr>
        <w:t>346.06</w:t>
      </w:r>
      <w:r>
        <w:rPr>
          <w:rFonts w:hint="eastAsia"/>
          <w:color w:val="000000"/>
        </w:rPr>
        <w:t>万亩，耕地面积346.06万亩，园地面积0.16万亩，林地面积55.17万亩，草地面积88.18万亩，商服用地面积1.20万亩，工矿仓储用地面积1.31万亩，住宅用地面积7.89万亩，公共管理公共服务用地面积0.80万亩，特殊用地面积0.36万亩，交通运输用地面积13.97万亩，水域及水利设施用地面积156.75万亩，其他土地面积35.99万亩。镇赉土地利用现状面积统计情况见表1</w:t>
      </w:r>
      <w:r>
        <w:rPr>
          <w:color w:val="000000"/>
        </w:rPr>
        <w:t>.5-1</w:t>
      </w:r>
      <w:r>
        <w:rPr>
          <w:rFonts w:hint="eastAsia"/>
          <w:color w:val="000000"/>
        </w:rPr>
        <w:t>。</w:t>
      </w:r>
    </w:p>
    <w:p>
      <w:pPr>
        <w:ind w:firstLine="480"/>
        <w:rPr>
          <w:color w:val="000000"/>
        </w:rPr>
      </w:pPr>
    </w:p>
    <w:p>
      <w:pPr>
        <w:ind w:firstLine="0" w:firstLineChars="0"/>
        <w:rPr>
          <w:rFonts w:hint="eastAsia"/>
          <w:b/>
          <w:bCs/>
          <w:color w:val="000000"/>
        </w:rPr>
      </w:pPr>
      <w:r>
        <w:rPr>
          <w:rFonts w:hint="eastAsia"/>
          <w:b/>
          <w:bCs/>
          <w:color w:val="000000"/>
        </w:rPr>
        <w:t>表1</w:t>
      </w:r>
      <w:r>
        <w:rPr>
          <w:b/>
          <w:bCs/>
          <w:color w:val="000000"/>
        </w:rPr>
        <w:t xml:space="preserve">.5-1                   </w:t>
      </w:r>
      <w:r>
        <w:rPr>
          <w:rFonts w:hint="eastAsia"/>
          <w:b/>
          <w:bCs/>
          <w:color w:val="000000"/>
        </w:rPr>
        <w:t>镇赉土地利用现状面积统计表</w:t>
      </w:r>
    </w:p>
    <w:tbl>
      <w:tblPr>
        <w:tblStyle w:val="1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95"/>
        <w:gridCol w:w="1803"/>
        <w:gridCol w:w="1803"/>
        <w:gridCol w:w="1804"/>
        <w:gridCol w:w="17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998" w:type="pct"/>
            <w:gridSpan w:val="2"/>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一级类</w:t>
            </w:r>
          </w:p>
        </w:tc>
        <w:tc>
          <w:tcPr>
            <w:tcW w:w="2003" w:type="pct"/>
            <w:gridSpan w:val="2"/>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二级类</w:t>
            </w:r>
          </w:p>
        </w:tc>
        <w:tc>
          <w:tcPr>
            <w:tcW w:w="999" w:type="pct"/>
            <w:vMerge w:val="restar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面积（万亩）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997"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编码</w:t>
            </w:r>
          </w:p>
        </w:tc>
        <w:tc>
          <w:tcPr>
            <w:tcW w:w="1001"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名称</w:t>
            </w:r>
          </w:p>
        </w:tc>
        <w:tc>
          <w:tcPr>
            <w:tcW w:w="1001"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编码</w:t>
            </w:r>
          </w:p>
        </w:tc>
        <w:tc>
          <w:tcPr>
            <w:tcW w:w="1002"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名称</w:t>
            </w:r>
          </w:p>
        </w:tc>
        <w:tc>
          <w:tcPr>
            <w:tcW w:w="999" w:type="pct"/>
            <w:vMerge w:val="continue"/>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1</w:t>
            </w:r>
          </w:p>
        </w:tc>
        <w:tc>
          <w:tcPr>
            <w:tcW w:w="1001"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耕地</w:t>
            </w:r>
          </w:p>
        </w:tc>
        <w:tc>
          <w:tcPr>
            <w:tcW w:w="1001" w:type="pc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101</w:t>
            </w:r>
          </w:p>
        </w:tc>
        <w:tc>
          <w:tcPr>
            <w:tcW w:w="1002" w:type="pc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水田</w:t>
            </w:r>
          </w:p>
        </w:tc>
        <w:tc>
          <w:tcPr>
            <w:tcW w:w="999" w:type="pct"/>
            <w:noWrap/>
            <w:vAlign w:val="center"/>
          </w:tcPr>
          <w:p>
            <w:pPr>
              <w:spacing w:line="240" w:lineRule="auto"/>
              <w:ind w:firstLine="0" w:firstLineChars="0"/>
              <w:jc w:val="center"/>
              <w:rPr>
                <w:color w:val="000000"/>
              </w:rPr>
            </w:pPr>
            <w:r>
              <w:rPr>
                <w:color w:val="000000"/>
              </w:rPr>
              <w:t>146.29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102</w:t>
            </w:r>
          </w:p>
        </w:tc>
        <w:tc>
          <w:tcPr>
            <w:tcW w:w="1002" w:type="pc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水浇地</w:t>
            </w:r>
          </w:p>
        </w:tc>
        <w:tc>
          <w:tcPr>
            <w:tcW w:w="999" w:type="pct"/>
            <w:noWrap/>
            <w:vAlign w:val="center"/>
          </w:tcPr>
          <w:p>
            <w:pPr>
              <w:spacing w:line="240" w:lineRule="auto"/>
              <w:ind w:firstLine="0" w:firstLineChars="0"/>
              <w:jc w:val="center"/>
              <w:rPr>
                <w:color w:val="000000"/>
              </w:rPr>
            </w:pPr>
            <w:r>
              <w:rPr>
                <w:color w:val="000000"/>
              </w:rPr>
              <w:t>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103</w:t>
            </w:r>
          </w:p>
        </w:tc>
        <w:tc>
          <w:tcPr>
            <w:tcW w:w="1002" w:type="pc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旱田</w:t>
            </w:r>
          </w:p>
        </w:tc>
        <w:tc>
          <w:tcPr>
            <w:tcW w:w="999" w:type="pct"/>
            <w:noWrap/>
            <w:vAlign w:val="center"/>
          </w:tcPr>
          <w:p>
            <w:pPr>
              <w:spacing w:line="240" w:lineRule="auto"/>
              <w:ind w:firstLine="0" w:firstLineChars="0"/>
              <w:jc w:val="center"/>
              <w:rPr>
                <w:color w:val="000000"/>
              </w:rPr>
            </w:pPr>
            <w:r>
              <w:rPr>
                <w:color w:val="000000"/>
              </w:rPr>
              <w:t>199.27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2</w:t>
            </w:r>
          </w:p>
        </w:tc>
        <w:tc>
          <w:tcPr>
            <w:tcW w:w="1001"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园地</w:t>
            </w:r>
          </w:p>
        </w:tc>
        <w:tc>
          <w:tcPr>
            <w:tcW w:w="1001" w:type="pct"/>
            <w:noWrap w:val="0"/>
            <w:vAlign w:val="center"/>
          </w:tcPr>
          <w:p>
            <w:pPr>
              <w:spacing w:line="240" w:lineRule="auto"/>
              <w:ind w:firstLine="0" w:firstLineChars="0"/>
              <w:jc w:val="center"/>
              <w:rPr>
                <w:color w:val="000000"/>
              </w:rPr>
            </w:pPr>
            <w:r>
              <w:rPr>
                <w:color w:val="000000"/>
              </w:rPr>
              <w:t>0201</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果园</w:t>
            </w:r>
          </w:p>
        </w:tc>
        <w:tc>
          <w:tcPr>
            <w:tcW w:w="999" w:type="pct"/>
            <w:noWrap/>
            <w:vAlign w:val="center"/>
          </w:tcPr>
          <w:p>
            <w:pPr>
              <w:spacing w:line="240" w:lineRule="auto"/>
              <w:ind w:firstLine="0" w:firstLineChars="0"/>
              <w:jc w:val="center"/>
              <w:rPr>
                <w:color w:val="000000"/>
              </w:rPr>
            </w:pPr>
            <w:r>
              <w:rPr>
                <w:color w:val="000000"/>
              </w:rPr>
              <w:t xml:space="preserve">0.16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color w:val="000000"/>
              </w:rPr>
            </w:pPr>
            <w:r>
              <w:rPr>
                <w:color w:val="000000"/>
              </w:rPr>
              <w:t>0204</w:t>
            </w:r>
          </w:p>
        </w:tc>
        <w:tc>
          <w:tcPr>
            <w:tcW w:w="1002" w:type="pct"/>
            <w:noWrap w:val="0"/>
            <w:vAlign w:val="center"/>
          </w:tcPr>
          <w:p>
            <w:pPr>
              <w:spacing w:line="240" w:lineRule="auto"/>
              <w:ind w:firstLine="0" w:firstLineChars="0"/>
              <w:jc w:val="center"/>
              <w:rPr>
                <w:color w:val="000000"/>
              </w:rPr>
            </w:pPr>
            <w:r>
              <w:rPr>
                <w:rFonts w:hint="eastAsia"/>
                <w:color w:val="000000"/>
              </w:rPr>
              <w:t>其他园地</w:t>
            </w:r>
          </w:p>
        </w:tc>
        <w:tc>
          <w:tcPr>
            <w:tcW w:w="999" w:type="pct"/>
            <w:noWrap/>
            <w:vAlign w:val="center"/>
          </w:tcPr>
          <w:p>
            <w:pPr>
              <w:spacing w:line="240" w:lineRule="auto"/>
              <w:ind w:firstLine="0" w:firstLineChars="0"/>
              <w:jc w:val="center"/>
              <w:rPr>
                <w:color w:val="000000"/>
              </w:rPr>
            </w:pPr>
            <w:r>
              <w:rPr>
                <w:color w:val="000000"/>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3</w:t>
            </w:r>
          </w:p>
        </w:tc>
        <w:tc>
          <w:tcPr>
            <w:tcW w:w="1001"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林地</w:t>
            </w:r>
          </w:p>
        </w:tc>
        <w:tc>
          <w:tcPr>
            <w:tcW w:w="1001" w:type="pct"/>
            <w:noWrap w:val="0"/>
            <w:vAlign w:val="center"/>
          </w:tcPr>
          <w:p>
            <w:pPr>
              <w:spacing w:line="240" w:lineRule="auto"/>
              <w:ind w:firstLine="0" w:firstLineChars="0"/>
              <w:jc w:val="center"/>
              <w:rPr>
                <w:color w:val="000000"/>
              </w:rPr>
            </w:pPr>
            <w:r>
              <w:rPr>
                <w:color w:val="000000"/>
              </w:rPr>
              <w:t>0301</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乔木林地</w:t>
            </w:r>
          </w:p>
        </w:tc>
        <w:tc>
          <w:tcPr>
            <w:tcW w:w="999" w:type="pct"/>
            <w:noWrap/>
            <w:vAlign w:val="center"/>
          </w:tcPr>
          <w:p>
            <w:pPr>
              <w:spacing w:line="240" w:lineRule="auto"/>
              <w:ind w:firstLine="0" w:firstLineChars="0"/>
              <w:jc w:val="center"/>
              <w:rPr>
                <w:color w:val="000000"/>
              </w:rPr>
            </w:pPr>
            <w:r>
              <w:rPr>
                <w:color w:val="000000"/>
              </w:rPr>
              <w:t xml:space="preserve">40.99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001" w:type="pct"/>
            <w:noWrap w:val="0"/>
            <w:vAlign w:val="center"/>
          </w:tcPr>
          <w:p>
            <w:pPr>
              <w:spacing w:line="240" w:lineRule="auto"/>
              <w:ind w:firstLine="0" w:firstLineChars="0"/>
              <w:jc w:val="center"/>
              <w:rPr>
                <w:color w:val="000000"/>
              </w:rPr>
            </w:pPr>
            <w:r>
              <w:rPr>
                <w:color w:val="000000"/>
              </w:rPr>
              <w:t>0305</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灌木林地</w:t>
            </w:r>
          </w:p>
        </w:tc>
        <w:tc>
          <w:tcPr>
            <w:tcW w:w="999" w:type="pct"/>
            <w:noWrap/>
            <w:vAlign w:val="center"/>
          </w:tcPr>
          <w:p>
            <w:pPr>
              <w:spacing w:line="240" w:lineRule="auto"/>
              <w:ind w:firstLine="0" w:firstLineChars="0"/>
              <w:jc w:val="center"/>
              <w:rPr>
                <w:color w:val="000000"/>
              </w:rPr>
            </w:pPr>
            <w:r>
              <w:rPr>
                <w:color w:val="000000"/>
              </w:rPr>
              <w:t xml:space="preserve">0.07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001" w:type="pct"/>
            <w:noWrap w:val="0"/>
            <w:vAlign w:val="center"/>
          </w:tcPr>
          <w:p>
            <w:pPr>
              <w:spacing w:line="240" w:lineRule="auto"/>
              <w:ind w:firstLine="0" w:firstLineChars="0"/>
              <w:jc w:val="center"/>
              <w:rPr>
                <w:color w:val="000000"/>
              </w:rPr>
            </w:pPr>
            <w:r>
              <w:rPr>
                <w:color w:val="000000"/>
              </w:rPr>
              <w:t>0307</w:t>
            </w:r>
          </w:p>
        </w:tc>
        <w:tc>
          <w:tcPr>
            <w:tcW w:w="1002" w:type="pct"/>
            <w:noWrap w:val="0"/>
            <w:vAlign w:val="center"/>
          </w:tcPr>
          <w:p>
            <w:pPr>
              <w:spacing w:line="240" w:lineRule="auto"/>
              <w:ind w:firstLine="0" w:firstLineChars="0"/>
              <w:jc w:val="center"/>
              <w:rPr>
                <w:color w:val="000000"/>
              </w:rPr>
            </w:pPr>
            <w:r>
              <w:rPr>
                <w:rFonts w:hint="eastAsia"/>
                <w:color w:val="000000"/>
              </w:rPr>
              <w:t>其他林地</w:t>
            </w:r>
          </w:p>
        </w:tc>
        <w:tc>
          <w:tcPr>
            <w:tcW w:w="999" w:type="pct"/>
            <w:noWrap/>
            <w:vAlign w:val="center"/>
          </w:tcPr>
          <w:p>
            <w:pPr>
              <w:spacing w:line="240" w:lineRule="auto"/>
              <w:ind w:firstLine="0" w:firstLineChars="0"/>
              <w:jc w:val="center"/>
              <w:rPr>
                <w:color w:val="000000"/>
              </w:rPr>
            </w:pPr>
            <w:r>
              <w:rPr>
                <w:color w:val="000000"/>
              </w:rPr>
              <w:t xml:space="preserve">14.11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4</w:t>
            </w:r>
          </w:p>
        </w:tc>
        <w:tc>
          <w:tcPr>
            <w:tcW w:w="1001" w:type="pct"/>
            <w:vMerge w:val="restart"/>
            <w:noWrap w:val="0"/>
            <w:vAlign w:val="center"/>
          </w:tcPr>
          <w:p>
            <w:pPr>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草</w:t>
            </w:r>
            <w:r>
              <w:rPr>
                <w:rFonts w:hint="eastAsia" w:ascii="宋体" w:hAnsi="宋体" w:cs="宋体"/>
                <w:snapToGrid/>
                <w:color w:val="000000"/>
                <w:sz w:val="21"/>
                <w:szCs w:val="21"/>
              </w:rPr>
              <w:t>地</w:t>
            </w:r>
          </w:p>
        </w:tc>
        <w:tc>
          <w:tcPr>
            <w:tcW w:w="1001" w:type="pct"/>
            <w:noWrap w:val="0"/>
            <w:vAlign w:val="center"/>
          </w:tcPr>
          <w:p>
            <w:pPr>
              <w:widowControl/>
              <w:adjustRightInd/>
              <w:snapToGrid/>
              <w:spacing w:line="240" w:lineRule="auto"/>
              <w:ind w:firstLine="0" w:firstLineChars="0"/>
              <w:jc w:val="center"/>
              <w:rPr>
                <w:rFonts w:ascii="Arial" w:hAnsi="Arial" w:cs="Arial"/>
                <w:snapToGrid/>
                <w:color w:val="000000"/>
                <w:sz w:val="20"/>
              </w:rPr>
            </w:pPr>
            <w:r>
              <w:rPr>
                <w:rFonts w:ascii="Arial" w:hAnsi="Arial" w:cs="Arial"/>
                <w:color w:val="000000"/>
                <w:sz w:val="20"/>
              </w:rPr>
              <w:t>0401</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天然牧草地</w:t>
            </w:r>
          </w:p>
        </w:tc>
        <w:tc>
          <w:tcPr>
            <w:tcW w:w="999" w:type="pct"/>
            <w:noWrap/>
            <w:vAlign w:val="center"/>
          </w:tcPr>
          <w:p>
            <w:pPr>
              <w:spacing w:line="240" w:lineRule="auto"/>
              <w:ind w:firstLine="0" w:firstLineChars="0"/>
              <w:jc w:val="center"/>
              <w:rPr>
                <w:color w:val="000000"/>
              </w:rPr>
            </w:pPr>
            <w:r>
              <w:rPr>
                <w:color w:val="000000"/>
              </w:rPr>
              <w:t xml:space="preserve">7.74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spacing w:line="240" w:lineRule="auto"/>
              <w:ind w:firstLine="0" w:firstLineChars="0"/>
              <w:jc w:val="center"/>
              <w:rPr>
                <w:rFonts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ascii="Arial" w:hAnsi="Arial" w:cs="Arial"/>
                <w:color w:val="000000"/>
                <w:sz w:val="20"/>
              </w:rPr>
            </w:pPr>
            <w:r>
              <w:rPr>
                <w:rFonts w:ascii="Arial" w:hAnsi="Arial" w:cs="Arial"/>
                <w:color w:val="000000"/>
                <w:sz w:val="20"/>
              </w:rPr>
              <w:t>0402</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沼泽草地</w:t>
            </w:r>
          </w:p>
        </w:tc>
        <w:tc>
          <w:tcPr>
            <w:tcW w:w="999" w:type="pct"/>
            <w:noWrap/>
            <w:vAlign w:val="center"/>
          </w:tcPr>
          <w:p>
            <w:pPr>
              <w:spacing w:line="240" w:lineRule="auto"/>
              <w:ind w:firstLine="0" w:firstLineChars="0"/>
              <w:jc w:val="center"/>
              <w:rPr>
                <w:color w:val="000000"/>
              </w:rPr>
            </w:pPr>
            <w:r>
              <w:rPr>
                <w:color w:val="000000"/>
              </w:rPr>
              <w:t xml:space="preserve">0.09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ascii="Arial" w:hAnsi="Arial" w:cs="Arial"/>
                <w:color w:val="000000"/>
                <w:sz w:val="20"/>
              </w:rPr>
            </w:pPr>
            <w:r>
              <w:rPr>
                <w:rFonts w:ascii="Arial" w:hAnsi="Arial" w:cs="Arial"/>
                <w:color w:val="000000"/>
                <w:sz w:val="20"/>
              </w:rPr>
              <w:t>0404</w:t>
            </w:r>
          </w:p>
        </w:tc>
        <w:tc>
          <w:tcPr>
            <w:tcW w:w="1002" w:type="pct"/>
            <w:noWrap w:val="0"/>
            <w:vAlign w:val="center"/>
          </w:tcPr>
          <w:p>
            <w:pPr>
              <w:spacing w:line="240" w:lineRule="auto"/>
              <w:ind w:firstLine="0" w:firstLineChars="0"/>
              <w:jc w:val="center"/>
              <w:rPr>
                <w:color w:val="000000"/>
              </w:rPr>
            </w:pPr>
            <w:r>
              <w:rPr>
                <w:rFonts w:hint="eastAsia"/>
                <w:color w:val="000000"/>
              </w:rPr>
              <w:t>其他草地</w:t>
            </w:r>
          </w:p>
        </w:tc>
        <w:tc>
          <w:tcPr>
            <w:tcW w:w="999" w:type="pct"/>
            <w:noWrap/>
            <w:vAlign w:val="center"/>
          </w:tcPr>
          <w:p>
            <w:pPr>
              <w:spacing w:line="240" w:lineRule="auto"/>
              <w:ind w:firstLine="0" w:firstLineChars="0"/>
              <w:jc w:val="center"/>
              <w:rPr>
                <w:color w:val="000000"/>
              </w:rPr>
            </w:pPr>
            <w:r>
              <w:rPr>
                <w:color w:val="000000"/>
              </w:rPr>
              <w:t xml:space="preserve">80.35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5</w:t>
            </w:r>
          </w:p>
        </w:tc>
        <w:tc>
          <w:tcPr>
            <w:tcW w:w="1001"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商服用地</w:t>
            </w:r>
          </w:p>
        </w:tc>
        <w:tc>
          <w:tcPr>
            <w:tcW w:w="1001" w:type="pct"/>
            <w:noWrap w:val="0"/>
            <w:vAlign w:val="center"/>
          </w:tcPr>
          <w:p>
            <w:pPr>
              <w:spacing w:line="240" w:lineRule="auto"/>
              <w:ind w:firstLine="0" w:firstLineChars="0"/>
              <w:jc w:val="center"/>
              <w:rPr>
                <w:rFonts w:hint="eastAsia"/>
                <w:color w:val="000000"/>
              </w:rPr>
            </w:pPr>
            <w:r>
              <w:rPr>
                <w:rFonts w:hint="eastAsia"/>
                <w:color w:val="000000"/>
              </w:rPr>
              <w:t>0508</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物流仓储用地</w:t>
            </w:r>
          </w:p>
        </w:tc>
        <w:tc>
          <w:tcPr>
            <w:tcW w:w="999" w:type="pct"/>
            <w:noWrap/>
            <w:vAlign w:val="center"/>
          </w:tcPr>
          <w:p>
            <w:pPr>
              <w:spacing w:line="240" w:lineRule="auto"/>
              <w:ind w:firstLine="0" w:firstLineChars="0"/>
              <w:jc w:val="center"/>
              <w:rPr>
                <w:color w:val="000000"/>
              </w:rPr>
            </w:pPr>
            <w:r>
              <w:rPr>
                <w:color w:val="000000"/>
              </w:rPr>
              <w:t xml:space="preserve">0.98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05H1</w:t>
            </w:r>
          </w:p>
        </w:tc>
        <w:tc>
          <w:tcPr>
            <w:tcW w:w="1002" w:type="pct"/>
            <w:noWrap w:val="0"/>
            <w:vAlign w:val="center"/>
          </w:tcPr>
          <w:p>
            <w:pPr>
              <w:spacing w:line="240" w:lineRule="auto"/>
              <w:ind w:firstLine="0" w:firstLineChars="0"/>
              <w:jc w:val="center"/>
              <w:rPr>
                <w:color w:val="000000"/>
              </w:rPr>
            </w:pPr>
            <w:r>
              <w:rPr>
                <w:rFonts w:hint="eastAsia"/>
                <w:color w:val="000000"/>
              </w:rPr>
              <w:t>商业服务业设施用地</w:t>
            </w:r>
          </w:p>
        </w:tc>
        <w:tc>
          <w:tcPr>
            <w:tcW w:w="999" w:type="pct"/>
            <w:noWrap/>
            <w:vAlign w:val="center"/>
          </w:tcPr>
          <w:p>
            <w:pPr>
              <w:spacing w:line="240" w:lineRule="auto"/>
              <w:ind w:firstLine="0" w:firstLineChars="0"/>
              <w:jc w:val="center"/>
              <w:rPr>
                <w:color w:val="000000"/>
              </w:rPr>
            </w:pPr>
            <w:r>
              <w:rPr>
                <w:color w:val="000000"/>
              </w:rPr>
              <w:t xml:space="preserve">0.22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6</w:t>
            </w:r>
          </w:p>
        </w:tc>
        <w:tc>
          <w:tcPr>
            <w:tcW w:w="1001"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工矿仓储用地</w:t>
            </w:r>
          </w:p>
        </w:tc>
        <w:tc>
          <w:tcPr>
            <w:tcW w:w="1001" w:type="pct"/>
            <w:noWrap w:val="0"/>
            <w:vAlign w:val="center"/>
          </w:tcPr>
          <w:p>
            <w:pPr>
              <w:spacing w:line="240" w:lineRule="auto"/>
              <w:ind w:firstLine="0" w:firstLineChars="0"/>
              <w:jc w:val="center"/>
              <w:rPr>
                <w:rFonts w:hint="eastAsia"/>
                <w:color w:val="000000"/>
              </w:rPr>
            </w:pPr>
            <w:r>
              <w:rPr>
                <w:rFonts w:hint="eastAsia"/>
                <w:color w:val="000000"/>
              </w:rPr>
              <w:t>0601</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工业用地</w:t>
            </w:r>
          </w:p>
        </w:tc>
        <w:tc>
          <w:tcPr>
            <w:tcW w:w="999" w:type="pct"/>
            <w:noWrap/>
            <w:vAlign w:val="center"/>
          </w:tcPr>
          <w:p>
            <w:pPr>
              <w:spacing w:line="240" w:lineRule="auto"/>
              <w:ind w:firstLine="0" w:firstLineChars="0"/>
              <w:jc w:val="center"/>
              <w:rPr>
                <w:color w:val="000000"/>
              </w:rPr>
            </w:pPr>
            <w:r>
              <w:rPr>
                <w:color w:val="000000"/>
              </w:rPr>
              <w:t xml:space="preserve">0.83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0602</w:t>
            </w:r>
          </w:p>
        </w:tc>
        <w:tc>
          <w:tcPr>
            <w:tcW w:w="1002" w:type="pct"/>
            <w:noWrap w:val="0"/>
            <w:vAlign w:val="center"/>
          </w:tcPr>
          <w:p>
            <w:pPr>
              <w:spacing w:line="240" w:lineRule="auto"/>
              <w:ind w:firstLine="0" w:firstLineChars="0"/>
              <w:jc w:val="center"/>
              <w:rPr>
                <w:color w:val="000000"/>
              </w:rPr>
            </w:pPr>
            <w:r>
              <w:rPr>
                <w:rFonts w:hint="eastAsia"/>
                <w:color w:val="000000"/>
              </w:rPr>
              <w:t>采矿用地</w:t>
            </w:r>
          </w:p>
        </w:tc>
        <w:tc>
          <w:tcPr>
            <w:tcW w:w="999" w:type="pct"/>
            <w:noWrap/>
            <w:vAlign w:val="center"/>
          </w:tcPr>
          <w:p>
            <w:pPr>
              <w:spacing w:line="240" w:lineRule="auto"/>
              <w:ind w:firstLine="0" w:firstLineChars="0"/>
              <w:jc w:val="center"/>
              <w:rPr>
                <w:color w:val="000000"/>
              </w:rPr>
            </w:pPr>
            <w:r>
              <w:rPr>
                <w:color w:val="000000"/>
              </w:rPr>
              <w:t xml:space="preserve">0.48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7</w:t>
            </w:r>
          </w:p>
        </w:tc>
        <w:tc>
          <w:tcPr>
            <w:tcW w:w="1001"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住宅用地</w:t>
            </w:r>
          </w:p>
        </w:tc>
        <w:tc>
          <w:tcPr>
            <w:tcW w:w="1001" w:type="pct"/>
            <w:noWrap w:val="0"/>
            <w:vAlign w:val="center"/>
          </w:tcPr>
          <w:p>
            <w:pPr>
              <w:spacing w:line="240" w:lineRule="auto"/>
              <w:ind w:firstLine="0" w:firstLineChars="0"/>
              <w:jc w:val="center"/>
              <w:rPr>
                <w:rFonts w:hint="eastAsia"/>
                <w:color w:val="000000"/>
              </w:rPr>
            </w:pPr>
            <w:r>
              <w:rPr>
                <w:rFonts w:hint="eastAsia"/>
                <w:color w:val="000000"/>
              </w:rPr>
              <w:t>0701</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城镇住宅用地</w:t>
            </w:r>
          </w:p>
        </w:tc>
        <w:tc>
          <w:tcPr>
            <w:tcW w:w="999" w:type="pct"/>
            <w:noWrap/>
            <w:vAlign w:val="center"/>
          </w:tcPr>
          <w:p>
            <w:pPr>
              <w:spacing w:line="240" w:lineRule="auto"/>
              <w:ind w:firstLine="0" w:firstLineChars="0"/>
              <w:jc w:val="center"/>
              <w:rPr>
                <w:color w:val="000000"/>
              </w:rPr>
            </w:pPr>
            <w:r>
              <w:rPr>
                <w:color w:val="000000"/>
              </w:rPr>
              <w:t xml:space="preserve">2.03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0702</w:t>
            </w:r>
          </w:p>
        </w:tc>
        <w:tc>
          <w:tcPr>
            <w:tcW w:w="1002" w:type="pct"/>
            <w:noWrap w:val="0"/>
            <w:vAlign w:val="center"/>
          </w:tcPr>
          <w:p>
            <w:pPr>
              <w:spacing w:line="240" w:lineRule="auto"/>
              <w:ind w:firstLine="0" w:firstLineChars="0"/>
              <w:jc w:val="center"/>
              <w:rPr>
                <w:color w:val="000000"/>
              </w:rPr>
            </w:pPr>
            <w:r>
              <w:rPr>
                <w:rFonts w:hint="eastAsia"/>
                <w:color w:val="000000"/>
              </w:rPr>
              <w:t>农村宅基地</w:t>
            </w:r>
          </w:p>
        </w:tc>
        <w:tc>
          <w:tcPr>
            <w:tcW w:w="999" w:type="pct"/>
            <w:noWrap/>
            <w:vAlign w:val="center"/>
          </w:tcPr>
          <w:p>
            <w:pPr>
              <w:spacing w:line="240" w:lineRule="auto"/>
              <w:ind w:firstLine="0" w:firstLineChars="0"/>
              <w:jc w:val="center"/>
              <w:rPr>
                <w:color w:val="000000"/>
              </w:rPr>
            </w:pPr>
            <w:r>
              <w:rPr>
                <w:color w:val="000000"/>
              </w:rPr>
              <w:t xml:space="preserve">5.86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8</w:t>
            </w:r>
          </w:p>
        </w:tc>
        <w:tc>
          <w:tcPr>
            <w:tcW w:w="1001"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公共管理公共服务用地</w:t>
            </w:r>
          </w:p>
        </w:tc>
        <w:tc>
          <w:tcPr>
            <w:tcW w:w="1001" w:type="pct"/>
            <w:noWrap w:val="0"/>
            <w:vAlign w:val="center"/>
          </w:tcPr>
          <w:p>
            <w:pPr>
              <w:spacing w:line="240" w:lineRule="auto"/>
              <w:ind w:firstLine="0" w:firstLineChars="0"/>
              <w:jc w:val="center"/>
              <w:rPr>
                <w:rFonts w:hint="eastAsia"/>
                <w:color w:val="000000"/>
              </w:rPr>
            </w:pPr>
            <w:r>
              <w:rPr>
                <w:rFonts w:hint="eastAsia"/>
                <w:color w:val="000000"/>
              </w:rPr>
              <w:t>0809</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公用设施用地</w:t>
            </w:r>
          </w:p>
        </w:tc>
        <w:tc>
          <w:tcPr>
            <w:tcW w:w="999" w:type="pct"/>
            <w:noWrap/>
            <w:vAlign w:val="center"/>
          </w:tcPr>
          <w:p>
            <w:pPr>
              <w:spacing w:line="240" w:lineRule="auto"/>
              <w:ind w:firstLine="0" w:firstLineChars="0"/>
              <w:jc w:val="center"/>
              <w:rPr>
                <w:color w:val="000000"/>
              </w:rPr>
            </w:pPr>
            <w:r>
              <w:rPr>
                <w:color w:val="000000"/>
              </w:rPr>
              <w:t xml:space="preserve">0.11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0810</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公园与绿地</w:t>
            </w:r>
          </w:p>
        </w:tc>
        <w:tc>
          <w:tcPr>
            <w:tcW w:w="999" w:type="pct"/>
            <w:noWrap/>
            <w:vAlign w:val="center"/>
          </w:tcPr>
          <w:p>
            <w:pPr>
              <w:spacing w:line="240" w:lineRule="auto"/>
              <w:ind w:firstLine="0" w:firstLineChars="0"/>
              <w:jc w:val="center"/>
              <w:rPr>
                <w:color w:val="000000"/>
              </w:rPr>
            </w:pPr>
            <w:r>
              <w:rPr>
                <w:color w:val="000000"/>
              </w:rPr>
              <w:t xml:space="preserve">0.08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0810A</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广场用地</w:t>
            </w:r>
          </w:p>
        </w:tc>
        <w:tc>
          <w:tcPr>
            <w:tcW w:w="999" w:type="pct"/>
            <w:noWrap/>
            <w:vAlign w:val="center"/>
          </w:tcPr>
          <w:p>
            <w:pPr>
              <w:spacing w:line="240" w:lineRule="auto"/>
              <w:ind w:firstLine="0" w:firstLineChars="0"/>
              <w:jc w:val="center"/>
              <w:rPr>
                <w:color w:val="000000"/>
              </w:rPr>
            </w:pPr>
            <w:r>
              <w:rPr>
                <w:color w:val="000000"/>
              </w:rPr>
              <w:t xml:space="preserve">0.02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08H1</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机关团体新闻出版用地</w:t>
            </w:r>
          </w:p>
        </w:tc>
        <w:tc>
          <w:tcPr>
            <w:tcW w:w="999" w:type="pct"/>
            <w:noWrap/>
            <w:vAlign w:val="center"/>
          </w:tcPr>
          <w:p>
            <w:pPr>
              <w:spacing w:line="240" w:lineRule="auto"/>
              <w:ind w:firstLine="0" w:firstLineChars="0"/>
              <w:jc w:val="center"/>
              <w:rPr>
                <w:color w:val="000000"/>
              </w:rPr>
            </w:pPr>
            <w:r>
              <w:rPr>
                <w:color w:val="000000"/>
              </w:rPr>
              <w:t xml:space="preserve">0.20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08H2</w:t>
            </w:r>
          </w:p>
        </w:tc>
        <w:tc>
          <w:tcPr>
            <w:tcW w:w="1002" w:type="pct"/>
            <w:noWrap w:val="0"/>
            <w:vAlign w:val="center"/>
          </w:tcPr>
          <w:p>
            <w:pPr>
              <w:spacing w:line="240" w:lineRule="auto"/>
              <w:ind w:firstLine="0" w:firstLineChars="0"/>
              <w:jc w:val="center"/>
              <w:rPr>
                <w:color w:val="000000"/>
              </w:rPr>
            </w:pPr>
            <w:r>
              <w:rPr>
                <w:rFonts w:hint="eastAsia"/>
                <w:color w:val="000000"/>
              </w:rPr>
              <w:t>科教文卫用地</w:t>
            </w:r>
          </w:p>
        </w:tc>
        <w:tc>
          <w:tcPr>
            <w:tcW w:w="999" w:type="pct"/>
            <w:noWrap/>
            <w:vAlign w:val="center"/>
          </w:tcPr>
          <w:p>
            <w:pPr>
              <w:spacing w:line="240" w:lineRule="auto"/>
              <w:ind w:firstLine="0" w:firstLineChars="0"/>
              <w:jc w:val="center"/>
              <w:rPr>
                <w:color w:val="000000"/>
              </w:rPr>
            </w:pPr>
            <w:r>
              <w:rPr>
                <w:color w:val="000000"/>
              </w:rPr>
              <w:t xml:space="preserve">0.39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9</w:t>
            </w:r>
          </w:p>
        </w:tc>
        <w:tc>
          <w:tcPr>
            <w:tcW w:w="1001" w:type="pc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特殊用地</w:t>
            </w:r>
          </w:p>
        </w:tc>
        <w:tc>
          <w:tcPr>
            <w:tcW w:w="1001"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9</w:t>
            </w:r>
          </w:p>
        </w:tc>
        <w:tc>
          <w:tcPr>
            <w:tcW w:w="1002"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snapToGrid/>
                <w:color w:val="000000"/>
                <w:sz w:val="21"/>
                <w:szCs w:val="21"/>
              </w:rPr>
              <w:t>特殊用地</w:t>
            </w:r>
          </w:p>
        </w:tc>
        <w:tc>
          <w:tcPr>
            <w:tcW w:w="999"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w:t>
            </w:r>
            <w:r>
              <w:rPr>
                <w:rFonts w:ascii="宋体" w:hAnsi="宋体" w:cs="宋体"/>
                <w:snapToGrid/>
                <w:color w:val="000000"/>
                <w:sz w:val="21"/>
                <w:szCs w:val="21"/>
              </w:rPr>
              <w:t>0</w:t>
            </w:r>
          </w:p>
        </w:tc>
        <w:tc>
          <w:tcPr>
            <w:tcW w:w="1001" w:type="pct"/>
            <w:vMerge w:val="restart"/>
            <w:noWrap w:val="0"/>
            <w:vAlign w:val="center"/>
          </w:tcPr>
          <w:p>
            <w:pPr>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交通运输用地</w:t>
            </w:r>
          </w:p>
        </w:tc>
        <w:tc>
          <w:tcPr>
            <w:tcW w:w="1001" w:type="pct"/>
            <w:noWrap w:val="0"/>
            <w:vAlign w:val="center"/>
          </w:tcPr>
          <w:p>
            <w:pPr>
              <w:spacing w:line="240" w:lineRule="auto"/>
              <w:ind w:firstLine="0" w:firstLineChars="0"/>
              <w:jc w:val="center"/>
              <w:rPr>
                <w:rFonts w:hint="eastAsia"/>
                <w:color w:val="000000"/>
              </w:rPr>
            </w:pPr>
            <w:r>
              <w:rPr>
                <w:rFonts w:hint="eastAsia"/>
                <w:color w:val="000000"/>
              </w:rPr>
              <w:t>1001</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铁路用地</w:t>
            </w:r>
          </w:p>
        </w:tc>
        <w:tc>
          <w:tcPr>
            <w:tcW w:w="999" w:type="pct"/>
            <w:noWrap/>
            <w:vAlign w:val="center"/>
          </w:tcPr>
          <w:p>
            <w:pPr>
              <w:spacing w:line="240" w:lineRule="auto"/>
              <w:ind w:firstLine="0" w:firstLineChars="0"/>
              <w:jc w:val="center"/>
              <w:rPr>
                <w:color w:val="000000"/>
              </w:rPr>
            </w:pPr>
            <w:r>
              <w:rPr>
                <w:color w:val="000000"/>
              </w:rPr>
              <w:t xml:space="preserve">0.37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1003</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公路用地</w:t>
            </w:r>
          </w:p>
        </w:tc>
        <w:tc>
          <w:tcPr>
            <w:tcW w:w="999" w:type="pct"/>
            <w:noWrap/>
            <w:vAlign w:val="center"/>
          </w:tcPr>
          <w:p>
            <w:pPr>
              <w:spacing w:line="240" w:lineRule="auto"/>
              <w:ind w:firstLine="0" w:firstLineChars="0"/>
              <w:jc w:val="center"/>
              <w:rPr>
                <w:color w:val="000000"/>
              </w:rPr>
            </w:pPr>
            <w:r>
              <w:rPr>
                <w:color w:val="000000"/>
              </w:rPr>
              <w:t xml:space="preserve">3.30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1004</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城镇村道路用地</w:t>
            </w:r>
          </w:p>
        </w:tc>
        <w:tc>
          <w:tcPr>
            <w:tcW w:w="999" w:type="pct"/>
            <w:noWrap/>
            <w:vAlign w:val="center"/>
          </w:tcPr>
          <w:p>
            <w:pPr>
              <w:spacing w:line="240" w:lineRule="auto"/>
              <w:ind w:firstLine="0" w:firstLineChars="0"/>
              <w:jc w:val="center"/>
              <w:rPr>
                <w:color w:val="000000"/>
              </w:rPr>
            </w:pPr>
            <w:r>
              <w:rPr>
                <w:color w:val="000000"/>
              </w:rPr>
              <w:t xml:space="preserve">0.33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1005</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交通服务场站用地</w:t>
            </w:r>
          </w:p>
        </w:tc>
        <w:tc>
          <w:tcPr>
            <w:tcW w:w="999" w:type="pct"/>
            <w:noWrap/>
            <w:vAlign w:val="center"/>
          </w:tcPr>
          <w:p>
            <w:pPr>
              <w:spacing w:line="240" w:lineRule="auto"/>
              <w:ind w:firstLine="0" w:firstLineChars="0"/>
              <w:jc w:val="center"/>
              <w:rPr>
                <w:color w:val="000000"/>
              </w:rPr>
            </w:pPr>
            <w:r>
              <w:rPr>
                <w:color w:val="000000"/>
              </w:rPr>
              <w:t xml:space="preserve">0.04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1006</w:t>
            </w:r>
          </w:p>
        </w:tc>
        <w:tc>
          <w:tcPr>
            <w:tcW w:w="1002" w:type="pct"/>
            <w:noWrap w:val="0"/>
            <w:vAlign w:val="center"/>
          </w:tcPr>
          <w:p>
            <w:pPr>
              <w:spacing w:line="240" w:lineRule="auto"/>
              <w:ind w:firstLine="0" w:firstLineChars="0"/>
              <w:jc w:val="center"/>
              <w:rPr>
                <w:color w:val="000000"/>
              </w:rPr>
            </w:pPr>
            <w:r>
              <w:rPr>
                <w:rFonts w:hint="eastAsia"/>
                <w:color w:val="000000"/>
              </w:rPr>
              <w:t>农村道路</w:t>
            </w:r>
          </w:p>
        </w:tc>
        <w:tc>
          <w:tcPr>
            <w:tcW w:w="999" w:type="pct"/>
            <w:noWrap/>
            <w:vAlign w:val="center"/>
          </w:tcPr>
          <w:p>
            <w:pPr>
              <w:spacing w:line="240" w:lineRule="auto"/>
              <w:ind w:firstLine="0" w:firstLineChars="0"/>
              <w:jc w:val="center"/>
              <w:rPr>
                <w:color w:val="000000"/>
              </w:rPr>
            </w:pPr>
            <w:r>
              <w:rPr>
                <w:color w:val="000000"/>
              </w:rPr>
              <w:t xml:space="preserve">9.93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w:t>
            </w:r>
            <w:r>
              <w:rPr>
                <w:rFonts w:ascii="宋体" w:hAnsi="宋体" w:cs="宋体"/>
                <w:snapToGrid/>
                <w:color w:val="000000"/>
                <w:sz w:val="21"/>
                <w:szCs w:val="21"/>
              </w:rPr>
              <w:t>1</w:t>
            </w:r>
          </w:p>
        </w:tc>
        <w:tc>
          <w:tcPr>
            <w:tcW w:w="1001"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水域及水利设施用地</w:t>
            </w:r>
          </w:p>
        </w:tc>
        <w:tc>
          <w:tcPr>
            <w:tcW w:w="1001" w:type="pct"/>
            <w:noWrap w:val="0"/>
            <w:vAlign w:val="center"/>
          </w:tcPr>
          <w:p>
            <w:pPr>
              <w:spacing w:line="240" w:lineRule="auto"/>
              <w:ind w:firstLine="0" w:firstLineChars="0"/>
              <w:jc w:val="center"/>
              <w:rPr>
                <w:rFonts w:hint="eastAsia"/>
                <w:color w:val="000000"/>
              </w:rPr>
            </w:pPr>
            <w:r>
              <w:rPr>
                <w:rFonts w:hint="eastAsia"/>
                <w:color w:val="000000"/>
              </w:rPr>
              <w:t>1101</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河流水面</w:t>
            </w:r>
          </w:p>
        </w:tc>
        <w:tc>
          <w:tcPr>
            <w:tcW w:w="999" w:type="pct"/>
            <w:noWrap/>
            <w:vAlign w:val="center"/>
          </w:tcPr>
          <w:p>
            <w:pPr>
              <w:spacing w:line="240" w:lineRule="auto"/>
              <w:ind w:firstLine="0" w:firstLineChars="0"/>
              <w:jc w:val="center"/>
              <w:rPr>
                <w:color w:val="000000"/>
              </w:rPr>
            </w:pPr>
            <w:r>
              <w:rPr>
                <w:color w:val="000000"/>
              </w:rPr>
              <w:t xml:space="preserve">6.35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1103</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水库水面</w:t>
            </w:r>
          </w:p>
        </w:tc>
        <w:tc>
          <w:tcPr>
            <w:tcW w:w="999" w:type="pct"/>
            <w:noWrap/>
            <w:vAlign w:val="center"/>
          </w:tcPr>
          <w:p>
            <w:pPr>
              <w:spacing w:line="240" w:lineRule="auto"/>
              <w:ind w:firstLine="0" w:firstLineChars="0"/>
              <w:jc w:val="center"/>
              <w:rPr>
                <w:color w:val="000000"/>
              </w:rPr>
            </w:pPr>
            <w:r>
              <w:rPr>
                <w:color w:val="000000"/>
              </w:rPr>
              <w:t xml:space="preserve">13.25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1104</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坑塘水面</w:t>
            </w:r>
          </w:p>
        </w:tc>
        <w:tc>
          <w:tcPr>
            <w:tcW w:w="999" w:type="pct"/>
            <w:noWrap/>
            <w:vAlign w:val="center"/>
          </w:tcPr>
          <w:p>
            <w:pPr>
              <w:spacing w:line="240" w:lineRule="auto"/>
              <w:ind w:firstLine="0" w:firstLineChars="0"/>
              <w:jc w:val="center"/>
              <w:rPr>
                <w:color w:val="000000"/>
              </w:rPr>
            </w:pPr>
            <w:r>
              <w:rPr>
                <w:color w:val="000000"/>
              </w:rPr>
              <w:t xml:space="preserve">51.22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1104A</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养殖坑塘</w:t>
            </w:r>
          </w:p>
        </w:tc>
        <w:tc>
          <w:tcPr>
            <w:tcW w:w="999" w:type="pct"/>
            <w:noWrap/>
            <w:vAlign w:val="center"/>
          </w:tcPr>
          <w:p>
            <w:pPr>
              <w:spacing w:line="240" w:lineRule="auto"/>
              <w:ind w:firstLine="0" w:firstLineChars="0"/>
              <w:jc w:val="center"/>
              <w:rPr>
                <w:color w:val="000000"/>
              </w:rPr>
            </w:pPr>
            <w:r>
              <w:rPr>
                <w:color w:val="000000"/>
              </w:rPr>
              <w:t xml:space="preserve">0.55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1106</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内陆滩涂</w:t>
            </w:r>
          </w:p>
        </w:tc>
        <w:tc>
          <w:tcPr>
            <w:tcW w:w="999" w:type="pct"/>
            <w:noWrap/>
            <w:vAlign w:val="center"/>
          </w:tcPr>
          <w:p>
            <w:pPr>
              <w:spacing w:line="240" w:lineRule="auto"/>
              <w:ind w:firstLine="0" w:firstLineChars="0"/>
              <w:jc w:val="center"/>
              <w:rPr>
                <w:color w:val="000000"/>
              </w:rPr>
            </w:pPr>
            <w:r>
              <w:rPr>
                <w:color w:val="000000"/>
              </w:rPr>
              <w:t xml:space="preserve">39.71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1107</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沟渠</w:t>
            </w:r>
          </w:p>
        </w:tc>
        <w:tc>
          <w:tcPr>
            <w:tcW w:w="999" w:type="pct"/>
            <w:noWrap/>
            <w:vAlign w:val="center"/>
          </w:tcPr>
          <w:p>
            <w:pPr>
              <w:spacing w:line="240" w:lineRule="auto"/>
              <w:ind w:firstLine="0" w:firstLineChars="0"/>
              <w:jc w:val="center"/>
              <w:rPr>
                <w:color w:val="000000"/>
              </w:rPr>
            </w:pPr>
            <w:r>
              <w:rPr>
                <w:color w:val="000000"/>
              </w:rPr>
              <w:t xml:space="preserve">14.32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1107A</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干渠</w:t>
            </w:r>
          </w:p>
        </w:tc>
        <w:tc>
          <w:tcPr>
            <w:tcW w:w="999" w:type="pct"/>
            <w:noWrap/>
            <w:vAlign w:val="center"/>
          </w:tcPr>
          <w:p>
            <w:pPr>
              <w:spacing w:line="240" w:lineRule="auto"/>
              <w:ind w:firstLine="0" w:firstLineChars="0"/>
              <w:jc w:val="center"/>
              <w:rPr>
                <w:color w:val="000000"/>
              </w:rPr>
            </w:pPr>
            <w:r>
              <w:rPr>
                <w:color w:val="000000"/>
              </w:rPr>
              <w:t xml:space="preserve">0.63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1108</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沼泽地</w:t>
            </w:r>
          </w:p>
        </w:tc>
        <w:tc>
          <w:tcPr>
            <w:tcW w:w="999" w:type="pct"/>
            <w:noWrap/>
            <w:vAlign w:val="center"/>
          </w:tcPr>
          <w:p>
            <w:pPr>
              <w:spacing w:line="240" w:lineRule="auto"/>
              <w:ind w:firstLine="0" w:firstLineChars="0"/>
              <w:jc w:val="center"/>
              <w:rPr>
                <w:color w:val="000000"/>
              </w:rPr>
            </w:pPr>
            <w:r>
              <w:rPr>
                <w:color w:val="000000"/>
              </w:rPr>
              <w:t xml:space="preserve">28.82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1109</w:t>
            </w:r>
          </w:p>
        </w:tc>
        <w:tc>
          <w:tcPr>
            <w:tcW w:w="1002" w:type="pct"/>
            <w:noWrap w:val="0"/>
            <w:vAlign w:val="center"/>
          </w:tcPr>
          <w:p>
            <w:pPr>
              <w:spacing w:line="240" w:lineRule="auto"/>
              <w:ind w:firstLine="0" w:firstLineChars="0"/>
              <w:jc w:val="center"/>
              <w:rPr>
                <w:color w:val="000000"/>
              </w:rPr>
            </w:pPr>
            <w:r>
              <w:rPr>
                <w:rFonts w:hint="eastAsia"/>
                <w:color w:val="000000"/>
              </w:rPr>
              <w:t>水工建筑用地</w:t>
            </w:r>
          </w:p>
        </w:tc>
        <w:tc>
          <w:tcPr>
            <w:tcW w:w="999" w:type="pct"/>
            <w:noWrap/>
            <w:vAlign w:val="center"/>
          </w:tcPr>
          <w:p>
            <w:pPr>
              <w:spacing w:line="240" w:lineRule="auto"/>
              <w:ind w:firstLine="0" w:firstLineChars="0"/>
              <w:jc w:val="center"/>
              <w:rPr>
                <w:color w:val="000000"/>
              </w:rPr>
            </w:pPr>
            <w:r>
              <w:rPr>
                <w:color w:val="000000"/>
              </w:rPr>
              <w:t xml:space="preserve">1.90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w:t>
            </w:r>
            <w:r>
              <w:rPr>
                <w:rFonts w:ascii="宋体" w:hAnsi="宋体" w:cs="宋体"/>
                <w:snapToGrid/>
                <w:color w:val="000000"/>
                <w:sz w:val="21"/>
                <w:szCs w:val="21"/>
              </w:rPr>
              <w:t>2</w:t>
            </w:r>
          </w:p>
        </w:tc>
        <w:tc>
          <w:tcPr>
            <w:tcW w:w="1001" w:type="pct"/>
            <w:vMerge w:val="restart"/>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其他土地</w:t>
            </w:r>
          </w:p>
        </w:tc>
        <w:tc>
          <w:tcPr>
            <w:tcW w:w="1001" w:type="pct"/>
            <w:noWrap w:val="0"/>
            <w:vAlign w:val="center"/>
          </w:tcPr>
          <w:p>
            <w:pPr>
              <w:spacing w:line="240" w:lineRule="auto"/>
              <w:ind w:firstLine="0" w:firstLineChars="0"/>
              <w:jc w:val="center"/>
              <w:rPr>
                <w:rFonts w:hint="eastAsia"/>
                <w:color w:val="000000"/>
              </w:rPr>
            </w:pPr>
            <w:r>
              <w:rPr>
                <w:rFonts w:hint="eastAsia"/>
                <w:color w:val="000000"/>
              </w:rPr>
              <w:t>1201</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空闲地</w:t>
            </w:r>
          </w:p>
        </w:tc>
        <w:tc>
          <w:tcPr>
            <w:tcW w:w="999" w:type="pct"/>
            <w:noWrap/>
            <w:vAlign w:val="center"/>
          </w:tcPr>
          <w:p>
            <w:pPr>
              <w:spacing w:line="240" w:lineRule="auto"/>
              <w:ind w:firstLine="0" w:firstLineChars="0"/>
              <w:jc w:val="center"/>
              <w:rPr>
                <w:color w:val="000000"/>
              </w:rPr>
            </w:pPr>
            <w:r>
              <w:rPr>
                <w:color w:val="000000"/>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1202</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设施农用地</w:t>
            </w:r>
          </w:p>
        </w:tc>
        <w:tc>
          <w:tcPr>
            <w:tcW w:w="999" w:type="pct"/>
            <w:noWrap/>
            <w:vAlign w:val="center"/>
          </w:tcPr>
          <w:p>
            <w:pPr>
              <w:spacing w:line="240" w:lineRule="auto"/>
              <w:ind w:firstLine="0" w:firstLineChars="0"/>
              <w:jc w:val="center"/>
              <w:rPr>
                <w:color w:val="000000"/>
              </w:rPr>
            </w:pPr>
            <w:r>
              <w:rPr>
                <w:color w:val="000000"/>
              </w:rPr>
              <w:t xml:space="preserve">0.68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1204</w:t>
            </w:r>
          </w:p>
        </w:tc>
        <w:tc>
          <w:tcPr>
            <w:tcW w:w="1002" w:type="pct"/>
            <w:noWrap w:val="0"/>
            <w:vAlign w:val="center"/>
          </w:tcPr>
          <w:p>
            <w:pPr>
              <w:spacing w:line="240" w:lineRule="auto"/>
              <w:ind w:firstLine="0" w:firstLineChars="0"/>
              <w:jc w:val="center"/>
              <w:rPr>
                <w:rFonts w:hint="eastAsia"/>
                <w:color w:val="000000"/>
              </w:rPr>
            </w:pPr>
            <w:r>
              <w:rPr>
                <w:rFonts w:hint="eastAsia"/>
                <w:color w:val="000000"/>
              </w:rPr>
              <w:t>盐碱地</w:t>
            </w:r>
          </w:p>
        </w:tc>
        <w:tc>
          <w:tcPr>
            <w:tcW w:w="999" w:type="pct"/>
            <w:noWrap/>
            <w:vAlign w:val="center"/>
          </w:tcPr>
          <w:p>
            <w:pPr>
              <w:spacing w:line="240" w:lineRule="auto"/>
              <w:ind w:firstLine="0" w:firstLineChars="0"/>
              <w:jc w:val="center"/>
              <w:rPr>
                <w:color w:val="000000"/>
              </w:rPr>
            </w:pPr>
            <w:r>
              <w:rPr>
                <w:color w:val="000000"/>
              </w:rPr>
              <w:t xml:space="preserve">35.13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vMerge w:val="continue"/>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1001" w:type="pct"/>
            <w:vMerge w:val="continue"/>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1001" w:type="pct"/>
            <w:noWrap w:val="0"/>
            <w:vAlign w:val="center"/>
          </w:tcPr>
          <w:p>
            <w:pPr>
              <w:spacing w:line="240" w:lineRule="auto"/>
              <w:ind w:firstLine="0" w:firstLineChars="0"/>
              <w:jc w:val="center"/>
              <w:rPr>
                <w:rFonts w:hint="eastAsia"/>
                <w:color w:val="000000"/>
              </w:rPr>
            </w:pPr>
            <w:r>
              <w:rPr>
                <w:rFonts w:hint="eastAsia"/>
                <w:color w:val="000000"/>
              </w:rPr>
              <w:t>1206</w:t>
            </w:r>
          </w:p>
        </w:tc>
        <w:tc>
          <w:tcPr>
            <w:tcW w:w="1002" w:type="pct"/>
            <w:noWrap w:val="0"/>
            <w:vAlign w:val="center"/>
          </w:tcPr>
          <w:p>
            <w:pPr>
              <w:spacing w:line="240" w:lineRule="auto"/>
              <w:ind w:firstLine="0" w:firstLineChars="0"/>
              <w:jc w:val="center"/>
              <w:rPr>
                <w:color w:val="000000"/>
              </w:rPr>
            </w:pPr>
            <w:r>
              <w:rPr>
                <w:rFonts w:hint="eastAsia"/>
                <w:color w:val="000000"/>
              </w:rPr>
              <w:t>裸土地</w:t>
            </w:r>
          </w:p>
        </w:tc>
        <w:tc>
          <w:tcPr>
            <w:tcW w:w="999" w:type="pct"/>
            <w:noWrap/>
            <w:vAlign w:val="center"/>
          </w:tcPr>
          <w:p>
            <w:pPr>
              <w:spacing w:line="240" w:lineRule="auto"/>
              <w:ind w:firstLine="0" w:firstLineChars="0"/>
              <w:jc w:val="center"/>
              <w:rPr>
                <w:color w:val="000000"/>
              </w:rPr>
            </w:pPr>
            <w:r>
              <w:rPr>
                <w:color w:val="000000"/>
              </w:rPr>
              <w:t xml:space="preserve">0.18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7"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合计</w:t>
            </w:r>
          </w:p>
        </w:tc>
        <w:tc>
          <w:tcPr>
            <w:tcW w:w="1001"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1001"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1002" w:type="pct"/>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999"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7</w:t>
            </w:r>
            <w:r>
              <w:rPr>
                <w:rFonts w:ascii="宋体" w:hAnsi="宋体" w:cs="宋体"/>
                <w:b/>
                <w:bCs/>
                <w:snapToGrid/>
                <w:color w:val="000000"/>
                <w:sz w:val="21"/>
                <w:szCs w:val="21"/>
              </w:rPr>
              <w:t>07.84</w:t>
            </w:r>
          </w:p>
        </w:tc>
      </w:tr>
    </w:tbl>
    <w:p>
      <w:pPr>
        <w:pStyle w:val="3"/>
        <w:rPr>
          <w:color w:val="000000"/>
        </w:rPr>
      </w:pPr>
      <w:bookmarkStart w:id="12" w:name="_Toc119750172"/>
      <w:r>
        <w:rPr>
          <w:color w:val="000000"/>
        </w:rPr>
        <w:t>1.6</w:t>
      </w:r>
      <w:r>
        <w:rPr>
          <w:rFonts w:hint="eastAsia"/>
          <w:color w:val="000000"/>
        </w:rPr>
        <w:t>种植情况</w:t>
      </w:r>
      <w:bookmarkEnd w:id="12"/>
    </w:p>
    <w:p>
      <w:pPr>
        <w:ind w:firstLine="480"/>
        <w:rPr>
          <w:rFonts w:hint="eastAsia"/>
          <w:color w:val="000000"/>
        </w:rPr>
      </w:pPr>
      <w:r>
        <w:rPr>
          <w:color w:val="000000"/>
        </w:rPr>
        <w:t>2020</w:t>
      </w:r>
      <w:r>
        <w:rPr>
          <w:rFonts w:hint="eastAsia"/>
          <w:color w:val="000000"/>
        </w:rPr>
        <w:t>年全年粮食种植面积</w:t>
      </w:r>
      <w:r>
        <w:rPr>
          <w:color w:val="000000"/>
        </w:rPr>
        <w:t>23.07</w:t>
      </w:r>
      <w:r>
        <w:rPr>
          <w:rFonts w:hint="eastAsia"/>
          <w:color w:val="000000"/>
        </w:rPr>
        <w:t>万公顷（</w:t>
      </w:r>
      <w:r>
        <w:rPr>
          <w:color w:val="000000"/>
        </w:rPr>
        <w:t>346.06</w:t>
      </w:r>
      <w:r>
        <w:rPr>
          <w:rFonts w:hint="eastAsia"/>
          <w:color w:val="000000"/>
        </w:rPr>
        <w:t>万亩）。其中，稻谷种植面积</w:t>
      </w:r>
      <w:r>
        <w:rPr>
          <w:color w:val="000000"/>
        </w:rPr>
        <w:t>9.79</w:t>
      </w:r>
      <w:r>
        <w:rPr>
          <w:rFonts w:hint="eastAsia"/>
          <w:color w:val="000000"/>
        </w:rPr>
        <w:t>万公顷（</w:t>
      </w:r>
      <w:r>
        <w:rPr>
          <w:color w:val="000000"/>
        </w:rPr>
        <w:t>146.79</w:t>
      </w:r>
      <w:r>
        <w:rPr>
          <w:rFonts w:hint="eastAsia"/>
          <w:color w:val="000000"/>
        </w:rPr>
        <w:t>万亩），玉米种植面积</w:t>
      </w:r>
      <w:r>
        <w:rPr>
          <w:color w:val="000000"/>
        </w:rPr>
        <w:t>13.28</w:t>
      </w:r>
      <w:r>
        <w:rPr>
          <w:rFonts w:hint="eastAsia"/>
          <w:color w:val="000000"/>
        </w:rPr>
        <w:t xml:space="preserve"> 万公顷（</w:t>
      </w:r>
      <w:r>
        <w:rPr>
          <w:color w:val="000000"/>
        </w:rPr>
        <w:t>199.27</w:t>
      </w:r>
      <w:r>
        <w:rPr>
          <w:rFonts w:hint="eastAsia"/>
          <w:color w:val="000000"/>
        </w:rPr>
        <w:t>万亩）。粮食总产量</w:t>
      </w:r>
      <w:r>
        <w:rPr>
          <w:color w:val="000000"/>
        </w:rPr>
        <w:t>10.04</w:t>
      </w:r>
      <w:r>
        <w:rPr>
          <w:rFonts w:hint="eastAsia"/>
          <w:color w:val="000000"/>
        </w:rPr>
        <w:t xml:space="preserve"> 亿公斤。其中，水稻产量</w:t>
      </w:r>
      <w:r>
        <w:rPr>
          <w:color w:val="000000"/>
        </w:rPr>
        <w:t>6.37</w:t>
      </w:r>
      <w:r>
        <w:rPr>
          <w:rFonts w:hint="eastAsia"/>
          <w:color w:val="000000"/>
        </w:rPr>
        <w:t>亿公斤，玉米产量</w:t>
      </w:r>
      <w:r>
        <w:rPr>
          <w:color w:val="000000"/>
        </w:rPr>
        <w:t>4.67</w:t>
      </w:r>
      <w:r>
        <w:rPr>
          <w:rFonts w:hint="eastAsia"/>
          <w:color w:val="000000"/>
        </w:rPr>
        <w:t>亿公斤。</w:t>
      </w:r>
      <w:r>
        <w:rPr>
          <w:color w:val="000000"/>
        </w:rPr>
        <w:tab/>
      </w:r>
    </w:p>
    <w:p>
      <w:pPr>
        <w:pStyle w:val="3"/>
        <w:rPr>
          <w:rFonts w:hint="eastAsia"/>
          <w:color w:val="000000"/>
        </w:rPr>
      </w:pPr>
      <w:bookmarkStart w:id="13" w:name="_Toc119750173"/>
      <w:r>
        <w:rPr>
          <w:color w:val="000000"/>
        </w:rPr>
        <w:t>1.7</w:t>
      </w:r>
      <w:r>
        <w:rPr>
          <w:rFonts w:hint="eastAsia"/>
          <w:color w:val="000000"/>
        </w:rPr>
        <w:t>高标准农田建设情况</w:t>
      </w:r>
      <w:bookmarkEnd w:id="13"/>
    </w:p>
    <w:p>
      <w:pPr>
        <w:ind w:firstLine="480"/>
        <w:rPr>
          <w:rFonts w:hint="eastAsia"/>
          <w:color w:val="000000"/>
        </w:rPr>
        <w:sectPr>
          <w:footerReference r:id="rId11" w:type="first"/>
          <w:footerReference r:id="rId9" w:type="default"/>
          <w:footerReference r:id="rId10" w:type="even"/>
          <w:pgSz w:w="11907" w:h="16840"/>
          <w:pgMar w:top="1418" w:right="1418" w:bottom="1418" w:left="1701" w:header="851" w:footer="1077" w:gutter="0"/>
          <w:pgNumType w:fmt="decimal" w:start="1"/>
          <w:cols w:space="720" w:num="1"/>
          <w:docGrid w:linePitch="312" w:charSpace="0"/>
        </w:sectPr>
      </w:pPr>
      <w:r>
        <w:rPr>
          <w:rFonts w:hint="eastAsia"/>
          <w:color w:val="000000"/>
        </w:rPr>
        <w:t>镇赉县2</w:t>
      </w:r>
      <w:r>
        <w:rPr>
          <w:color w:val="000000"/>
        </w:rPr>
        <w:t>011</w:t>
      </w:r>
      <w:r>
        <w:rPr>
          <w:rFonts w:hint="eastAsia"/>
          <w:color w:val="000000"/>
        </w:rPr>
        <w:t>年~</w:t>
      </w:r>
      <w:r>
        <w:rPr>
          <w:color w:val="000000"/>
        </w:rPr>
        <w:t>2020</w:t>
      </w:r>
      <w:r>
        <w:rPr>
          <w:rFonts w:hint="eastAsia"/>
          <w:color w:val="000000"/>
        </w:rPr>
        <w:t>年共建设高标准农田</w:t>
      </w:r>
      <w:r>
        <w:rPr>
          <w:color w:val="000000"/>
        </w:rPr>
        <w:t>165.40</w:t>
      </w:r>
      <w:r>
        <w:rPr>
          <w:rFonts w:hint="eastAsia"/>
          <w:color w:val="000000"/>
        </w:rPr>
        <w:t>万亩，总投资</w:t>
      </w:r>
      <w:r>
        <w:rPr>
          <w:color w:val="000000"/>
        </w:rPr>
        <w:t>26.29</w:t>
      </w:r>
      <w:r>
        <w:rPr>
          <w:rFonts w:hint="eastAsia"/>
          <w:color w:val="000000"/>
        </w:rPr>
        <w:t>亿元，高标准农田项目区覆盖了全县所有乡镇，镇赉县选择了最适宜高标准农田建设开展的项目区，在1</w:t>
      </w:r>
      <w:r>
        <w:rPr>
          <w:color w:val="000000"/>
        </w:rPr>
        <w:t>0</w:t>
      </w:r>
      <w:r>
        <w:rPr>
          <w:rFonts w:hint="eastAsia"/>
          <w:color w:val="000000"/>
        </w:rPr>
        <w:t>年间为老百姓打造了</w:t>
      </w:r>
      <w:r>
        <w:rPr>
          <w:color w:val="000000"/>
        </w:rPr>
        <w:t>34</w:t>
      </w:r>
      <w:r>
        <w:rPr>
          <w:rFonts w:hint="eastAsia"/>
          <w:color w:val="000000"/>
        </w:rPr>
        <w:t>个高标准农田项目区，粮食综合生产能力得到了一定的提升。镇赉县2</w:t>
      </w:r>
      <w:r>
        <w:rPr>
          <w:color w:val="000000"/>
        </w:rPr>
        <w:t>011</w:t>
      </w:r>
      <w:r>
        <w:rPr>
          <w:rFonts w:hint="eastAsia" w:ascii="宋体" w:hAnsi="宋体"/>
          <w:color w:val="000000"/>
        </w:rPr>
        <w:t>～</w:t>
      </w:r>
      <w:r>
        <w:rPr>
          <w:color w:val="000000"/>
        </w:rPr>
        <w:t>2020</w:t>
      </w:r>
      <w:r>
        <w:rPr>
          <w:rFonts w:hint="eastAsia"/>
          <w:color w:val="000000"/>
        </w:rPr>
        <w:t>年高标准农田建设概况见表1</w:t>
      </w:r>
      <w:r>
        <w:rPr>
          <w:color w:val="000000"/>
        </w:rPr>
        <w:t>.7</w:t>
      </w:r>
      <w:r>
        <w:rPr>
          <w:rFonts w:hint="eastAsia"/>
          <w:color w:val="000000"/>
        </w:rPr>
        <w:t>-</w:t>
      </w:r>
      <w:r>
        <w:rPr>
          <w:color w:val="000000"/>
        </w:rPr>
        <w:t>1</w:t>
      </w:r>
      <w:r>
        <w:rPr>
          <w:rFonts w:hint="eastAsia"/>
          <w:color w:val="000000"/>
        </w:rPr>
        <w:t>，已建高标准农田空间分布见图1</w:t>
      </w:r>
      <w:r>
        <w:rPr>
          <w:color w:val="000000"/>
        </w:rPr>
        <w:t>.7-2</w:t>
      </w:r>
    </w:p>
    <w:p>
      <w:pPr>
        <w:ind w:firstLine="0" w:firstLineChars="0"/>
        <w:rPr>
          <w:rFonts w:hint="eastAsia"/>
          <w:b/>
          <w:bCs/>
          <w:color w:val="000000"/>
        </w:rPr>
      </w:pPr>
      <w:r>
        <w:rPr>
          <w:rFonts w:hint="eastAsia"/>
          <w:b/>
          <w:bCs/>
          <w:color w:val="000000"/>
        </w:rPr>
        <w:t>表1</w:t>
      </w:r>
      <w:r>
        <w:rPr>
          <w:b/>
          <w:bCs/>
          <w:color w:val="000000"/>
        </w:rPr>
        <w:t>.7</w:t>
      </w:r>
      <w:r>
        <w:rPr>
          <w:rFonts w:hint="eastAsia"/>
          <w:b/>
          <w:bCs/>
          <w:color w:val="000000"/>
        </w:rPr>
        <w:t>-</w:t>
      </w:r>
      <w:r>
        <w:rPr>
          <w:b/>
          <w:bCs/>
          <w:color w:val="000000"/>
        </w:rPr>
        <w:t xml:space="preserve">1                                </w:t>
      </w:r>
      <w:r>
        <w:rPr>
          <w:rFonts w:hint="eastAsia"/>
          <w:b/>
          <w:bCs/>
          <w:color w:val="000000"/>
        </w:rPr>
        <w:t>镇赉县2</w:t>
      </w:r>
      <w:r>
        <w:rPr>
          <w:b/>
          <w:bCs/>
          <w:color w:val="000000"/>
        </w:rPr>
        <w:t>011</w:t>
      </w:r>
      <w:r>
        <w:rPr>
          <w:rFonts w:hint="eastAsia"/>
          <w:b/>
          <w:bCs/>
          <w:color w:val="000000"/>
        </w:rPr>
        <w:t>-</w:t>
      </w:r>
      <w:r>
        <w:rPr>
          <w:b/>
          <w:bCs/>
          <w:color w:val="000000"/>
        </w:rPr>
        <w:t>2020</w:t>
      </w:r>
      <w:r>
        <w:rPr>
          <w:rFonts w:hint="eastAsia"/>
          <w:b/>
          <w:bCs/>
          <w:color w:val="000000"/>
        </w:rPr>
        <w:t>年高标准农田建设概况表</w:t>
      </w:r>
    </w:p>
    <w:tbl>
      <w:tblPr>
        <w:tblStyle w:val="1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79"/>
        <w:gridCol w:w="2332"/>
        <w:gridCol w:w="2301"/>
        <w:gridCol w:w="924"/>
        <w:gridCol w:w="1115"/>
        <w:gridCol w:w="1027"/>
        <w:gridCol w:w="1027"/>
        <w:gridCol w:w="757"/>
        <w:gridCol w:w="41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2" w:hRule="atLeast"/>
          <w:tblHeader/>
        </w:trPr>
        <w:tc>
          <w:tcPr>
            <w:tcW w:w="204" w:type="pct"/>
            <w:vMerge w:val="restar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年份</w:t>
            </w:r>
          </w:p>
        </w:tc>
        <w:tc>
          <w:tcPr>
            <w:tcW w:w="820" w:type="pct"/>
            <w:vMerge w:val="restar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项目名称</w:t>
            </w:r>
          </w:p>
        </w:tc>
        <w:tc>
          <w:tcPr>
            <w:tcW w:w="809" w:type="pct"/>
            <w:vMerge w:val="restar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建设地点</w:t>
            </w:r>
          </w:p>
        </w:tc>
        <w:tc>
          <w:tcPr>
            <w:tcW w:w="325" w:type="pct"/>
            <w:vMerge w:val="restart"/>
            <w:shd w:val="clear" w:color="auto" w:fill="auto"/>
            <w:noWrap w:val="0"/>
            <w:vAlign w:val="center"/>
          </w:tcPr>
          <w:p>
            <w:pPr>
              <w:widowControl/>
              <w:overflowPunct w:val="0"/>
              <w:adjustRightInd/>
              <w:snapToGrid/>
              <w:spacing w:line="240" w:lineRule="auto"/>
              <w:ind w:firstLine="0" w:firstLineChars="0"/>
              <w:jc w:val="center"/>
              <w:rPr>
                <w:rFonts w:ascii="宋体" w:hAnsi="宋体" w:cs="宋体"/>
                <w:b/>
                <w:bCs/>
                <w:snapToGrid/>
                <w:color w:val="000000"/>
                <w:sz w:val="18"/>
                <w:szCs w:val="18"/>
              </w:rPr>
            </w:pPr>
            <w:r>
              <w:rPr>
                <w:rFonts w:hint="eastAsia" w:ascii="宋体" w:hAnsi="宋体" w:cs="宋体"/>
                <w:b/>
                <w:bCs/>
                <w:snapToGrid/>
                <w:color w:val="000000"/>
                <w:sz w:val="18"/>
                <w:szCs w:val="18"/>
              </w:rPr>
              <w:t>任务量</w:t>
            </w:r>
          </w:p>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（万亩）</w:t>
            </w:r>
          </w:p>
        </w:tc>
        <w:tc>
          <w:tcPr>
            <w:tcW w:w="1380" w:type="pct"/>
            <w:gridSpan w:val="4"/>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资金（万元）</w:t>
            </w:r>
          </w:p>
        </w:tc>
        <w:tc>
          <w:tcPr>
            <w:tcW w:w="1462" w:type="pct"/>
            <w:vMerge w:val="restart"/>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建设内容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8" w:hRule="atLeast"/>
          <w:tblHeader/>
        </w:trPr>
        <w:tc>
          <w:tcPr>
            <w:tcW w:w="204" w:type="pct"/>
            <w:vMerge w:val="continue"/>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vMerge w:val="continue"/>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09" w:type="pct"/>
            <w:vMerge w:val="continue"/>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325" w:type="pct"/>
            <w:vMerge w:val="continue"/>
            <w:shd w:val="clear" w:color="auto" w:fill="auto"/>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总投资</w:t>
            </w:r>
          </w:p>
        </w:tc>
        <w:tc>
          <w:tcPr>
            <w:tcW w:w="361"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中央</w:t>
            </w:r>
          </w:p>
        </w:tc>
        <w:tc>
          <w:tcPr>
            <w:tcW w:w="361"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省级</w:t>
            </w:r>
          </w:p>
        </w:tc>
        <w:tc>
          <w:tcPr>
            <w:tcW w:w="266"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社会</w:t>
            </w:r>
          </w:p>
        </w:tc>
        <w:tc>
          <w:tcPr>
            <w:tcW w:w="1462" w:type="pct"/>
            <w:vMerge w:val="continue"/>
            <w:noWrap w:val="0"/>
            <w:vAlign w:val="top"/>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024" w:type="pct"/>
            <w:gridSpan w:val="2"/>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合计</w:t>
            </w:r>
          </w:p>
        </w:tc>
        <w:tc>
          <w:tcPr>
            <w:tcW w:w="809" w:type="pct"/>
            <w:shd w:val="clear" w:color="auto" w:fill="auto"/>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p>
        </w:tc>
        <w:tc>
          <w:tcPr>
            <w:tcW w:w="325"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w:t>
            </w:r>
            <w:r>
              <w:rPr>
                <w:rFonts w:ascii="宋体" w:hAnsi="宋体" w:cs="宋体"/>
                <w:snapToGrid/>
                <w:color w:val="000000"/>
                <w:sz w:val="18"/>
                <w:szCs w:val="18"/>
              </w:rPr>
              <w:t>65.40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w:t>
            </w:r>
            <w:r>
              <w:rPr>
                <w:rFonts w:ascii="宋体" w:hAnsi="宋体" w:cs="宋体"/>
                <w:snapToGrid/>
                <w:color w:val="000000"/>
                <w:sz w:val="18"/>
                <w:szCs w:val="18"/>
              </w:rPr>
              <w:t>62861.04</w:t>
            </w:r>
          </w:p>
        </w:tc>
        <w:tc>
          <w:tcPr>
            <w:tcW w:w="361"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w:t>
            </w:r>
            <w:r>
              <w:rPr>
                <w:rFonts w:ascii="宋体" w:hAnsi="宋体" w:cs="宋体"/>
                <w:snapToGrid/>
                <w:color w:val="000000"/>
                <w:sz w:val="18"/>
                <w:szCs w:val="18"/>
              </w:rPr>
              <w:t>06499.72</w:t>
            </w:r>
          </w:p>
        </w:tc>
        <w:tc>
          <w:tcPr>
            <w:tcW w:w="361"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w:t>
            </w:r>
            <w:r>
              <w:rPr>
                <w:rFonts w:ascii="宋体" w:hAnsi="宋体" w:cs="宋体"/>
                <w:snapToGrid/>
                <w:color w:val="000000"/>
                <w:sz w:val="18"/>
                <w:szCs w:val="18"/>
              </w:rPr>
              <w:t>55928.32</w:t>
            </w:r>
          </w:p>
        </w:tc>
        <w:tc>
          <w:tcPr>
            <w:tcW w:w="266"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w:t>
            </w:r>
            <w:r>
              <w:rPr>
                <w:rFonts w:ascii="宋体" w:hAnsi="宋体" w:cs="宋体"/>
                <w:snapToGrid/>
                <w:color w:val="000000"/>
                <w:sz w:val="18"/>
                <w:szCs w:val="18"/>
              </w:rPr>
              <w:t>33.00</w:t>
            </w:r>
          </w:p>
        </w:tc>
        <w:tc>
          <w:tcPr>
            <w:tcW w:w="1462" w:type="pct"/>
            <w:noWrap w:val="0"/>
            <w:vAlign w:val="top"/>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04" w:type="pct"/>
            <w:vMerge w:val="restar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2011</w:t>
            </w:r>
          </w:p>
        </w:tc>
        <w:tc>
          <w:tcPr>
            <w:tcW w:w="820" w:type="pct"/>
            <w:shd w:val="clear" w:color="auto" w:fill="auto"/>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2011年镇赉县东屏镇高标准农田建设示范项目</w:t>
            </w:r>
          </w:p>
        </w:tc>
        <w:tc>
          <w:tcPr>
            <w:tcW w:w="809" w:type="pct"/>
            <w:shd w:val="clear" w:color="auto" w:fill="auto"/>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镇赉县东屏镇乌木村、张海村、哈拉干吐村</w:t>
            </w:r>
          </w:p>
        </w:tc>
        <w:tc>
          <w:tcPr>
            <w:tcW w:w="325"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2.00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2196.00</w:t>
            </w:r>
          </w:p>
        </w:tc>
        <w:tc>
          <w:tcPr>
            <w:tcW w:w="361"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1630.00</w:t>
            </w:r>
          </w:p>
        </w:tc>
        <w:tc>
          <w:tcPr>
            <w:tcW w:w="361"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403.00</w:t>
            </w:r>
          </w:p>
        </w:tc>
        <w:tc>
          <w:tcPr>
            <w:tcW w:w="266"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163.00</w:t>
            </w:r>
          </w:p>
        </w:tc>
        <w:tc>
          <w:tcPr>
            <w:tcW w:w="1462" w:type="pct"/>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新建斗沟、农沟121.492公里，渠道衬砌63.76公里，农渠进水闸91座。田间道路：砂石路15公里，混凝土路1.4公里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0" w:hRule="atLeast"/>
        </w:trPr>
        <w:tc>
          <w:tcPr>
            <w:tcW w:w="204" w:type="pct"/>
            <w:vMerge w:val="continue"/>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镇赉县实施国家新增千亿斤粮食产能规划2011年田间工程建设项目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坦途镇哈拉干吐村，沿江镇前少力根村，大屯镇大官营子村，建平乡平安村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0.90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470.00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376.00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94.00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农用井:27口；农用道路：13300米；渠（沟）道：7028米；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98" w:hRule="atLeast"/>
        </w:trPr>
        <w:tc>
          <w:tcPr>
            <w:tcW w:w="204"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2012</w:t>
            </w: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2012年镇赉县高标准基本农田认定项目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嘎什根乡嘎什根村、嘎什根林场、后围子村、于家围子村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1.50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75.00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16.13</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58.88</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ascii="宋体" w:hAnsi="宋体" w:cs="宋体"/>
                <w:snapToGrid/>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restar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2013</w:t>
            </w: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2013年水稻产业现代农业园区试点项目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镇赉县新生农场五分场</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1.10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1125.00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750.00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300.00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75.00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开挖疏浚渠道49.008公里，支渠衬砌3.564公里，斗渠衬砌9.794公里，农渠衬砌11.606公里，节制闸5座，支渠进水闸3座斗渠进水闸7座农渠进水闸32座，路下涵8座，土埋管12座。田间道路：支渠砂石路2.454公里，斗渠砂石路3.213公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镇赉县实施国家新增千亿斤粮食产能规划2013年田间工程建设项目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郭家村，嘎什根乡那林村、后围子村、长发村，镇赉镇新立村、坦途镇、黑鱼泡镇</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2.29</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1147.00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918.00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229.00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农用井：269口；农用道路：10120米；渠道：20353米；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2013年镇赉县高标准基本农田认定项目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嘎什根乡长发村、大乌兰吐村、丹岱村、什家子村、望海村、乌林锡伯村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3.00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150.00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32.25</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117.75</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ascii="宋体" w:hAnsi="宋体" w:cs="宋体"/>
                <w:snapToGrid/>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吉林省西部土地开发整理重大项目镇赉项目区</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哈吐气乡、建平乡等</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107.3</w:t>
            </w:r>
            <w:r>
              <w:rPr>
                <w:rFonts w:ascii="宋体" w:hAnsi="宋体" w:cs="宋体"/>
                <w:snapToGrid/>
                <w:color w:val="000000"/>
                <w:sz w:val="18"/>
                <w:szCs w:val="18"/>
              </w:rPr>
              <w:t>1</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207145.52</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76766.55</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130378.97</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农用井：453口；农用道路：1457952米；农桥、涵：10965座；渠道：4634358米；输电线路：442500米；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restar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2014</w:t>
            </w: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2014年建平乡高标准农田建设项目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建平乡民主村、三合村、民治村、复兴马场、金山堡村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0.50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675.00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450.00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180.00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45.00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开挖疏浚渠道农渠23.95公里，农渠衬砌23.95公里，农渠进水闸65座，涵管桥96座。田间道路：砼路1.65公里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2014年水稻产业现代农业园区试点项目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镇赉县新生农场二、四分场</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1.40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1125.00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750.00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300.00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75.00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开挖疏浚渠道支渠7.05公里，支沟4.858公里，斗沟7.301公里，斗渠4.682公里，支渠衬砌7.05公里，斗渠衬砌4.682公里，节制闸3座，支渠进水闸2座斗渠进水闸7座农渠进水闸32座，路下涵3座，土埋管11座。田间道路：支渠砂石路5.91公里，斗渠砂石路4.032公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镇赉县实施国家新增千亿斤粮食产能规划2014年田间工程建设项目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嘎什根乡乌鸦山村、于家围子村、那林新村、长发村、馍馍格乡米太村、双青山村、才立村、少力村、卧卜村、代珠村、包力村、乌兰召村、元宝吐村、大屯镇前杭村、腰杭村、建平乡民主村、后六家子村、莲泡村、大岗村、平保村、葛连昭马场、英华村、三合村、平安村、复兴马场东屏镇蒙古索口村、白音河村、前进村、大龙村、格力吐村、洋沙村、西力吐村、东升村、乌木村、致祥村、查干村黑鱼泡乡棉西村、包金台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0.78</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1165.00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932.00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233.00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农用井：278口；农用道路：40325米；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2014年镇赉县四方坨子高标准基本农田建设稍加整治项目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四方坨子</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3.0</w:t>
            </w:r>
            <w:r>
              <w:rPr>
                <w:rFonts w:ascii="宋体" w:hAnsi="宋体" w:cs="宋体"/>
                <w:snapToGrid/>
                <w:color w:val="000000"/>
                <w:sz w:val="18"/>
                <w:szCs w:val="18"/>
              </w:rPr>
              <w:t>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2289.39</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492.22</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1797.17</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农用道路：11831米；农桥、涵28座；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2014年镇赉县大屯镇大五家子高标准基本农田建设稍加整治项目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大屯镇大五家子村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0.80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585.16</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125.81</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459.35</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农用道路：12180米；农桥、涵：74座；渠道：1140米；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2014年镇赉县莫莫格蒙古族乡高标准基本农田建设稍加整治项目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莫莫格蒙古族乡莫莫格村、岱珠村、双青山村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0.34</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262.87</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56.52</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206.35</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农用井：2口；农田道路：17162米；农桥、涵：1座；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镇赉县东屏镇高标准基本农田建设稍加整治项目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东屏镇大龙、蒙古索口村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0.75</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468.76</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22.28</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446.48</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农用井：54口；农用道路6485米；农桥7座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镇赉县四方坨子高标准基本农田建设稍加整治项目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四方坨子</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3.0</w:t>
            </w:r>
            <w:r>
              <w:rPr>
                <w:rFonts w:ascii="宋体" w:hAnsi="宋体" w:cs="宋体"/>
                <w:snapToGrid/>
                <w:color w:val="000000"/>
                <w:sz w:val="18"/>
                <w:szCs w:val="18"/>
              </w:rPr>
              <w:t>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2298.34</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494.14</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1804.20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农用道路：26120米；农桥、涵：56座；泵站：1座；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镇赉县大屯镇高标准基本农田建设稍加整治项目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大屯镇代头村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0.75</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570.06</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122.56</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447.50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农用井：54口；农用道路：16258米；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restar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2015</w:t>
            </w: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2015年哈吐气乡高标准农田建设项目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哈吐气乡宝山村、硕焕昭村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0.89</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1120.00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800.00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320.00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农渠衬砌47.3公里，农渠进水闸170座，涵管桥235座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2015年水稻产业现代农业园区试点项目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新生农场二、四分场</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1.50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1125.00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750.00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300.00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75.00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开挖疏浚渠道支渠9.453公里，斗渠1.6公里，农渠3.265公里，支沟2.942公里，直斗沟8.634公里，斗沟2.371公里，支渠衬砌9.453公里，斗渠衬砌1.6公里，农渠衬砌3.265公里，节制闸4座，支渠进水闸3座，斗渠进水闸2座，农渠进水闸89座，路下涵6座，土埋管264米。田间道路： 砂石路11.495公里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0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镇赉县2015年实施国家新增千亿斤粮食产能规划田间工程建设项目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白音套海畜牧场、创业村、大茨勒营子村、大户拉村、大乌兰吐村、丹岱村、东报马台村、东西五家子村、二力把村、嘎什根村、杭乃村、后六家子村、后围子村、后长发村、金山堡村、立新村、莲泡村、民生村、民治村、民主村、平安村、平保村、前杭村、三合村、双庙村、望海村、乌林锡伯村、乌鸦山村、西报马台村、小二龙村、新荒户村、腰杭村、英华村、于家围子村、长发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0.87</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1311.00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1049.00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262.00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农用井：326口；农用道路：44000米；渠道：7028米；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2015年镇赉县五棵树镇高标准基本农田建设稍加整治项目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五棵树镇苏可村、铁力村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0.5</w:t>
            </w:r>
            <w:r>
              <w:rPr>
                <w:rFonts w:ascii="宋体" w:hAnsi="宋体" w:cs="宋体"/>
                <w:snapToGrid/>
                <w:color w:val="000000"/>
                <w:sz w:val="18"/>
                <w:szCs w:val="18"/>
              </w:rPr>
              <w:t>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385.33</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82.85</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302.49</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农用道路：8433米；农桥、涵：12座；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2015年镇赉县嘎什根乡高标准基本农田建设稍加整治项目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嘎什根乡后围子村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0.33</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250.74</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53.91</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196.83</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农用井：29口；农用道路：2462米；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2015年镇赉县四方坨子高标准基本农田建设稍加整治项目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四方坨子</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2.44</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1725.03</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370.88</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1354.15</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农用道路：16278米；农桥、涵：77座；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2015年镇赉县坦途镇高标准基本农田建设稍加整治项目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坦途镇双保岱村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0.60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458.16</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98.50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359.65</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农用道路：12251米；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2015年镇赉县建平乡高标准基本农田建设稍加整治项目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建平乡莲泡村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0.45</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335.50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72.13</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263.36</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农用井：30口；农用道路：6259米；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restar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2016</w:t>
            </w: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2016年哈吐气乡高标准农田建设项目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哈吐气乡哈吐气村、张海村、硕焕昭村</w:t>
            </w:r>
            <w:r>
              <w:rPr>
                <w:rFonts w:hint="eastAsia" w:ascii="宋体" w:hAnsi="宋体" w:cs="宋体"/>
                <w:snapToGrid/>
                <w:color w:val="000000"/>
                <w:sz w:val="18"/>
                <w:szCs w:val="18"/>
              </w:rPr>
              <w:br w:type="textWrapping"/>
            </w:r>
            <w:r>
              <w:rPr>
                <w:rFonts w:hint="eastAsia" w:ascii="宋体" w:hAnsi="宋体" w:cs="宋体"/>
                <w:snapToGrid/>
                <w:color w:val="000000"/>
                <w:sz w:val="18"/>
                <w:szCs w:val="18"/>
              </w:rPr>
              <w:t>坦途镇哈拉干吐村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1.50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1890.00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1350.00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540.00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农渠衬砌71.749公里，农渠进水闸313座，涵管桥448座，土壤改良：0.69万亩。田间道路：水泥路1.23公里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镇赉县2016年实施国家新增千亿斤粮食产能规划田间工程建设项目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八家子村、宝山村、卜荷村、东报马台村、郭家村、杭乃村、后英台村、呼兰昭村、立新村、七克吐村、前英台村、三门召村、树北村、硕焕昭村、苏可村、铁力村、五棵树村、腰杭村、张家园子村、吉林省监狱管理局镇赉分局</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0.87</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1311.00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1049.00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262.00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井：80眼；机耕路：61069米；渠道：12794米；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restar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2017</w:t>
            </w: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镇赉县2017年高标准农田建设（补改结合土地整治）项目（五棵树区片）</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五棵树镇卜荷村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0.6</w:t>
            </w:r>
            <w:r>
              <w:rPr>
                <w:rFonts w:ascii="宋体" w:hAnsi="宋体" w:cs="宋体"/>
                <w:snapToGrid/>
                <w:color w:val="000000"/>
                <w:sz w:val="18"/>
                <w:szCs w:val="18"/>
              </w:rPr>
              <w:t>7</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839.62</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218.30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621.32</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农用道路：13051米；农桥、涵：73座；渠道：4077米；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镇赉县2017年高标准农田建设（补改结合土地整治）项目（坦途镇、东屏镇区片）</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坦途镇长城新村、双青山村、东屏镇乌木村、公合勒村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1.50</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1478.01</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384.28</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1093.73</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农用井：19口；农用道路22040米；输电线路：4096米；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镇赉县2017年高标准农田建设（补改结合土地整治）项目（镇赉镇、黑鱼泡镇区片）</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镇赉镇架其村、黑鱼泡镇黑鱼泡村、岔台村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1.67</w:t>
            </w:r>
          </w:p>
        </w:tc>
        <w:tc>
          <w:tcPr>
            <w:tcW w:w="392" w:type="pct"/>
            <w:shd w:val="clear" w:color="auto" w:fill="auto"/>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1758.37</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457.18</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1301.19</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农用井：28口；农用道路：22096米；输电线路：5552米；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restar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2018</w:t>
            </w: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镇赉县2018年高标准农田建设坦途镇、东屏镇（补改结合土地整治）项目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坦途镇大龙波村、东屏镇格力吐村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1.35</w:t>
            </w:r>
          </w:p>
        </w:tc>
        <w:tc>
          <w:tcPr>
            <w:tcW w:w="392"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1231.61</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320.22</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911.39</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农用井：9口；农用道路：20443米；农桥：1座；输电线路：781米；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镇赉县2018年高标准农田建设镇赉镇（补改结合土地整治）项目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镇赉镇新立村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1.36</w:t>
            </w:r>
          </w:p>
        </w:tc>
        <w:tc>
          <w:tcPr>
            <w:tcW w:w="392"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1230.30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319.88</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910.42</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农用井：9口；农用道路：20736米；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镇赉县2018年高标准农田建设黑鱼泡镇（补改结合土地整治）项目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黑鱼泡镇黑鱼泡村、三家子村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1.53</w:t>
            </w:r>
          </w:p>
        </w:tc>
        <w:tc>
          <w:tcPr>
            <w:tcW w:w="392"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1181.27</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307.13</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874.14</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农用井：9口；农用道路：19446米；输电线路：2277米；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40" w:hRule="atLeast"/>
        </w:trPr>
        <w:tc>
          <w:tcPr>
            <w:tcW w:w="204" w:type="pct"/>
            <w:vMerge w:val="restar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2020</w:t>
            </w: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吉林省镇赉县2020年高标准农田建设项目</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五棵树镇：张家园子、七克</w:t>
            </w:r>
            <w:r>
              <w:rPr>
                <w:rFonts w:hint="eastAsia" w:ascii="宋体" w:hAnsi="宋体" w:cs="宋体"/>
                <w:snapToGrid/>
                <w:color w:val="000000"/>
                <w:sz w:val="18"/>
                <w:szCs w:val="18"/>
              </w:rPr>
              <w:br w:type="textWrapping"/>
            </w:r>
            <w:r>
              <w:rPr>
                <w:rFonts w:hint="eastAsia" w:ascii="宋体" w:hAnsi="宋体" w:cs="宋体"/>
                <w:snapToGrid/>
                <w:color w:val="000000"/>
                <w:sz w:val="18"/>
                <w:szCs w:val="18"/>
              </w:rPr>
              <w:t>吐村、铁力村、树北村、前英台村、苏克村、三门召村、八家子村、卜荷村。大屯镇：杭乃村、西报马村。嘎什根乡：丹岱村、乌兰吐村、乌林锡伯、立新村。</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12.3</w:t>
            </w:r>
            <w:r>
              <w:rPr>
                <w:rFonts w:ascii="宋体" w:hAnsi="宋体" w:cs="宋体"/>
                <w:snapToGrid/>
                <w:color w:val="000000"/>
                <w:sz w:val="18"/>
                <w:szCs w:val="18"/>
              </w:rPr>
              <w:t>0</w:t>
            </w:r>
          </w:p>
        </w:tc>
        <w:tc>
          <w:tcPr>
            <w:tcW w:w="392"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16100.00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7500.00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8600.00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灌溉和排水工程76463米；建筑物2200座；田间道路工程82174米；农田配电工程输电线路84千米，灌溉井配电248座；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04" w:type="pct"/>
            <w:vMerge w:val="continue"/>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p>
        </w:tc>
        <w:tc>
          <w:tcPr>
            <w:tcW w:w="820" w:type="pct"/>
            <w:shd w:val="clear" w:color="auto" w:fill="FFFFFF"/>
            <w:noWrap w:val="0"/>
            <w:vAlign w:val="center"/>
          </w:tcPr>
          <w:p>
            <w:pPr>
              <w:widowControl/>
              <w:overflowPunct w:val="0"/>
              <w:adjustRightInd/>
              <w:snapToGrid/>
              <w:spacing w:line="240" w:lineRule="auto"/>
              <w:ind w:firstLine="0" w:firstLineChars="0"/>
              <w:jc w:val="center"/>
              <w:rPr>
                <w:rFonts w:hint="eastAsia" w:ascii="宋体" w:hAnsi="宋体" w:cs="宋体"/>
                <w:b/>
                <w:bCs/>
                <w:snapToGrid/>
                <w:color w:val="000000"/>
                <w:sz w:val="18"/>
                <w:szCs w:val="18"/>
              </w:rPr>
            </w:pPr>
            <w:r>
              <w:rPr>
                <w:rFonts w:hint="eastAsia" w:ascii="宋体" w:hAnsi="宋体" w:cs="宋体"/>
                <w:b/>
                <w:bCs/>
                <w:snapToGrid/>
                <w:color w:val="000000"/>
                <w:sz w:val="18"/>
                <w:szCs w:val="18"/>
              </w:rPr>
              <w:t>镇赉县2020年高标准农田建设项目（第二批）</w:t>
            </w:r>
          </w:p>
        </w:tc>
        <w:tc>
          <w:tcPr>
            <w:tcW w:w="809" w:type="pct"/>
            <w:shd w:val="clear" w:color="auto" w:fill="FFFFFF"/>
            <w:noWrap w:val="0"/>
            <w:vAlign w:val="center"/>
          </w:tcPr>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大屯镇腰杭乃村、小二龙村</w:t>
            </w:r>
          </w:p>
          <w:p>
            <w:pPr>
              <w:widowControl/>
              <w:overflowPunct w:val="0"/>
              <w:adjustRightInd/>
              <w:snapToGrid/>
              <w:spacing w:line="240" w:lineRule="auto"/>
              <w:ind w:firstLine="0" w:firstLineChars="0"/>
              <w:jc w:val="left"/>
              <w:rPr>
                <w:rFonts w:hint="eastAsia" w:ascii="宋体" w:hAnsi="宋体" w:cs="宋体"/>
                <w:snapToGrid/>
                <w:color w:val="000000"/>
                <w:sz w:val="18"/>
                <w:szCs w:val="18"/>
              </w:rPr>
            </w:pPr>
            <w:r>
              <w:rPr>
                <w:rFonts w:hint="eastAsia" w:ascii="宋体" w:hAnsi="宋体" w:cs="宋体"/>
                <w:snapToGrid/>
                <w:color w:val="000000"/>
                <w:sz w:val="18"/>
                <w:szCs w:val="18"/>
              </w:rPr>
              <w:t>五棵树镇四方坨子农场</w:t>
            </w:r>
          </w:p>
        </w:tc>
        <w:tc>
          <w:tcPr>
            <w:tcW w:w="325"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5.6</w:t>
            </w:r>
            <w:r>
              <w:rPr>
                <w:rFonts w:ascii="宋体" w:hAnsi="宋体" w:cs="宋体"/>
                <w:snapToGrid/>
                <w:color w:val="000000"/>
                <w:sz w:val="18"/>
                <w:szCs w:val="18"/>
              </w:rPr>
              <w:t>5</w:t>
            </w:r>
          </w:p>
        </w:tc>
        <w:tc>
          <w:tcPr>
            <w:tcW w:w="392"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7382.00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7382.00</w:t>
            </w:r>
          </w:p>
        </w:tc>
        <w:tc>
          <w:tcPr>
            <w:tcW w:w="361"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266" w:type="pct"/>
            <w:shd w:val="clear" w:color="auto" w:fill="FFFFFF"/>
            <w:noWrap/>
            <w:vAlign w:val="center"/>
          </w:tcPr>
          <w:p>
            <w:pPr>
              <w:widowControl/>
              <w:overflowPunct w:val="0"/>
              <w:adjustRightInd/>
              <w:snapToGrid/>
              <w:spacing w:line="240" w:lineRule="auto"/>
              <w:ind w:firstLine="0" w:firstLineChars="0"/>
              <w:jc w:val="center"/>
              <w:rPr>
                <w:rFonts w:hint="eastAsia" w:ascii="宋体" w:hAnsi="宋体" w:cs="宋体"/>
                <w:snapToGrid/>
                <w:color w:val="000000"/>
                <w:sz w:val="18"/>
                <w:szCs w:val="18"/>
              </w:rPr>
            </w:pPr>
            <w:r>
              <w:rPr>
                <w:rFonts w:hint="eastAsia" w:ascii="宋体" w:hAnsi="宋体" w:cs="宋体"/>
                <w:snapToGrid/>
                <w:color w:val="000000"/>
                <w:sz w:val="18"/>
                <w:szCs w:val="18"/>
              </w:rPr>
              <w:t>0.00</w:t>
            </w:r>
          </w:p>
        </w:tc>
        <w:tc>
          <w:tcPr>
            <w:tcW w:w="1462" w:type="pct"/>
            <w:shd w:val="clear" w:color="auto" w:fill="FFFFFF"/>
            <w:noWrap w:val="0"/>
            <w:vAlign w:val="top"/>
          </w:tcPr>
          <w:p>
            <w:pPr>
              <w:widowControl/>
              <w:overflowPunct w:val="0"/>
              <w:adjustRightInd/>
              <w:snapToGrid/>
              <w:spacing w:line="240" w:lineRule="auto"/>
              <w:ind w:firstLine="0" w:firstLineChars="0"/>
              <w:jc w:val="left"/>
              <w:rPr>
                <w:rFonts w:ascii="宋体" w:hAnsi="宋体" w:cs="宋体"/>
                <w:snapToGrid/>
                <w:color w:val="000000"/>
                <w:sz w:val="18"/>
                <w:szCs w:val="18"/>
              </w:rPr>
            </w:pPr>
            <w:r>
              <w:rPr>
                <w:rFonts w:hint="eastAsia" w:ascii="宋体" w:hAnsi="宋体" w:cs="宋体"/>
                <w:snapToGrid/>
                <w:color w:val="000000"/>
                <w:sz w:val="18"/>
                <w:szCs w:val="18"/>
              </w:rPr>
              <w:t>灌溉和排水工程16966米；建筑物628座；田间道路24771m；</w:t>
            </w:r>
          </w:p>
        </w:tc>
      </w:tr>
    </w:tbl>
    <w:p>
      <w:pPr>
        <w:tabs>
          <w:tab w:val="left" w:pos="1020"/>
        </w:tabs>
        <w:ind w:firstLine="480"/>
        <w:rPr>
          <w:color w:val="000000"/>
        </w:rPr>
        <w:sectPr>
          <w:pgSz w:w="16840" w:h="11907" w:orient="landscape"/>
          <w:pgMar w:top="1701" w:right="1418" w:bottom="1418" w:left="1418" w:header="851" w:footer="1077" w:gutter="0"/>
          <w:pgNumType w:fmt="decimal"/>
          <w:cols w:space="720" w:num="1"/>
          <w:docGrid w:linePitch="326" w:charSpace="0"/>
        </w:sectPr>
      </w:pPr>
      <w:r>
        <w:rPr>
          <w:color w:val="000000"/>
        </w:rPr>
        <w:tab/>
      </w:r>
    </w:p>
    <w:p>
      <w:pPr>
        <w:ind w:firstLine="0" w:firstLineChars="0"/>
        <w:jc w:val="center"/>
        <w:rPr>
          <w:rFonts w:hint="eastAsia"/>
          <w:b/>
          <w:bCs/>
          <w:color w:val="000000"/>
        </w:rPr>
      </w:pPr>
      <w:r>
        <w:rPr>
          <w:snapToGrid/>
          <w:color w:val="000000"/>
        </w:rPr>
        <w:drawing>
          <wp:inline distT="0" distB="0" distL="114300" distR="114300">
            <wp:extent cx="5577840" cy="3912870"/>
            <wp:effectExtent l="0" t="0" r="3810" b="1143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5577840" cy="3912870"/>
                    </a:xfrm>
                    <a:prstGeom prst="rect">
                      <a:avLst/>
                    </a:prstGeom>
                    <a:noFill/>
                    <a:ln>
                      <a:noFill/>
                    </a:ln>
                  </pic:spPr>
                </pic:pic>
              </a:graphicData>
            </a:graphic>
          </wp:inline>
        </w:drawing>
      </w:r>
    </w:p>
    <w:p>
      <w:pPr>
        <w:ind w:firstLine="0" w:firstLineChars="0"/>
        <w:jc w:val="center"/>
        <w:rPr>
          <w:b/>
          <w:bCs/>
          <w:color w:val="000000"/>
        </w:rPr>
      </w:pPr>
      <w:r>
        <w:rPr>
          <w:rFonts w:hint="eastAsia"/>
          <w:b/>
          <w:bCs/>
          <w:color w:val="000000"/>
        </w:rPr>
        <w:t>图1</w:t>
      </w:r>
      <w:r>
        <w:rPr>
          <w:b/>
          <w:bCs/>
          <w:color w:val="000000"/>
        </w:rPr>
        <w:t>.7</w:t>
      </w:r>
      <w:r>
        <w:rPr>
          <w:rFonts w:hint="eastAsia"/>
          <w:b/>
          <w:bCs/>
          <w:color w:val="000000"/>
        </w:rPr>
        <w:t>-</w:t>
      </w:r>
      <w:r>
        <w:rPr>
          <w:b/>
          <w:bCs/>
          <w:color w:val="000000"/>
        </w:rPr>
        <w:t>2</w:t>
      </w:r>
      <w:r>
        <w:rPr>
          <w:rFonts w:hint="eastAsia"/>
          <w:b/>
          <w:bCs/>
          <w:color w:val="000000"/>
        </w:rPr>
        <w:t>镇赉县已建高标准农田分布示意图</w:t>
      </w:r>
    </w:p>
    <w:p>
      <w:pPr>
        <w:ind w:firstLine="480"/>
        <w:rPr>
          <w:color w:val="000000"/>
        </w:rPr>
        <w:sectPr>
          <w:footerReference r:id="rId14" w:type="first"/>
          <w:footerReference r:id="rId12" w:type="default"/>
          <w:footerReference r:id="rId13" w:type="even"/>
          <w:pgSz w:w="11907" w:h="16840"/>
          <w:pgMar w:top="1418" w:right="1418" w:bottom="1418" w:left="1701" w:header="851" w:footer="1077" w:gutter="0"/>
          <w:pgNumType w:fmt="decimal"/>
          <w:cols w:space="720" w:num="1"/>
          <w:docGrid w:linePitch="312" w:charSpace="0"/>
        </w:sectPr>
      </w:pPr>
      <w:r>
        <w:rPr>
          <w:rFonts w:hint="eastAsia"/>
          <w:color w:val="000000"/>
        </w:rPr>
        <w:t>经过统计分析，镇赉县高标准农田多集中在东北和西南部地区，该片区地势相对平坦，又有嫩江提供水源，自然条件优越，且大部分为基本农田，适合大面积开展高标准农田建设，东南和西北部农田分散，不利于集中开展高标准农田建设，项目区分布较少。</w:t>
      </w:r>
    </w:p>
    <w:p>
      <w:pPr>
        <w:pStyle w:val="2"/>
        <w:rPr>
          <w:color w:val="000000"/>
        </w:rPr>
      </w:pPr>
      <w:bookmarkStart w:id="14" w:name="_Toc119750174"/>
      <w:r>
        <w:rPr>
          <w:rFonts w:hint="eastAsia"/>
          <w:color w:val="000000"/>
        </w:rPr>
        <w:t>2发展形势</w:t>
      </w:r>
      <w:bookmarkEnd w:id="14"/>
    </w:p>
    <w:p>
      <w:pPr>
        <w:spacing w:after="3"/>
        <w:ind w:left="2" w:right="2" w:firstLine="480"/>
        <w:rPr>
          <w:color w:val="000000"/>
        </w:rPr>
      </w:pPr>
      <w:r>
        <w:rPr>
          <w:rFonts w:hint="eastAsia"/>
          <w:color w:val="000000"/>
        </w:rPr>
        <w:t>加强高标准农田建设是保障国家粮食安全的重要手段，是现代农业发展的基础，是提高土地生产能力，实现农民增收的必由之路，实现农业可持续发展的需要。在新形势下，推动高标准农田建设从高标准到发挥高效益，对促进农业产业转型升级，农村资源统筹开发，农村经济协调发展具有重要意义</w:t>
      </w:r>
    </w:p>
    <w:p>
      <w:pPr>
        <w:spacing w:after="3"/>
        <w:ind w:left="2" w:right="2" w:firstLine="480"/>
        <w:rPr>
          <w:color w:val="000000"/>
        </w:rPr>
      </w:pPr>
      <w:r>
        <w:rPr>
          <w:rFonts w:hint="eastAsia"/>
          <w:color w:val="000000"/>
        </w:rPr>
        <w:t>随着高标准农田建设的蓬勃开展，截止至2</w:t>
      </w:r>
      <w:r>
        <w:rPr>
          <w:color w:val="000000"/>
        </w:rPr>
        <w:t>020</w:t>
      </w:r>
      <w:r>
        <w:rPr>
          <w:rFonts w:hint="eastAsia"/>
          <w:color w:val="000000"/>
        </w:rPr>
        <w:t>年底，镇赉县目前建成高标准农田</w:t>
      </w:r>
      <w:r>
        <w:rPr>
          <w:color w:val="000000"/>
        </w:rPr>
        <w:t>165.40</w:t>
      </w:r>
      <w:r>
        <w:rPr>
          <w:rFonts w:hint="eastAsia"/>
          <w:color w:val="000000"/>
        </w:rPr>
        <w:t>万亩，2</w:t>
      </w:r>
      <w:r>
        <w:rPr>
          <w:color w:val="000000"/>
        </w:rPr>
        <w:t>011</w:t>
      </w:r>
      <w:r>
        <w:rPr>
          <w:rFonts w:hint="eastAsia"/>
          <w:color w:val="000000"/>
        </w:rPr>
        <w:t>年~</w:t>
      </w:r>
      <w:r>
        <w:rPr>
          <w:color w:val="000000"/>
        </w:rPr>
        <w:t>2020</w:t>
      </w:r>
      <w:r>
        <w:rPr>
          <w:rFonts w:hint="eastAsia"/>
          <w:color w:val="000000"/>
        </w:rPr>
        <w:t>年年平均新建、认定高标准农田</w:t>
      </w:r>
      <w:r>
        <w:rPr>
          <w:color w:val="000000"/>
        </w:rPr>
        <w:t>165.40</w:t>
      </w:r>
      <w:r>
        <w:rPr>
          <w:rFonts w:hint="eastAsia"/>
          <w:color w:val="000000"/>
        </w:rPr>
        <w:t>万亩，占耕地总量的48%。高标准农田累计投资人民币</w:t>
      </w:r>
      <w:r>
        <w:rPr>
          <w:color w:val="000000"/>
        </w:rPr>
        <w:t>26.29</w:t>
      </w:r>
      <w:r>
        <w:rPr>
          <w:rFonts w:hint="eastAsia"/>
          <w:color w:val="000000"/>
        </w:rPr>
        <w:t>亿元，年均投资</w:t>
      </w:r>
      <w:r>
        <w:rPr>
          <w:color w:val="000000"/>
        </w:rPr>
        <w:t>2.63</w:t>
      </w:r>
      <w:r>
        <w:rPr>
          <w:rFonts w:hint="eastAsia"/>
          <w:color w:val="000000"/>
        </w:rPr>
        <w:t>亿元。</w:t>
      </w:r>
    </w:p>
    <w:p>
      <w:pPr>
        <w:pStyle w:val="3"/>
        <w:rPr>
          <w:color w:val="000000"/>
        </w:rPr>
      </w:pPr>
      <w:bookmarkStart w:id="15" w:name="_Toc119750175"/>
      <w:r>
        <w:rPr>
          <w:color w:val="000000"/>
        </w:rPr>
        <w:t>2.1</w:t>
      </w:r>
      <w:r>
        <w:rPr>
          <w:rFonts w:hint="eastAsia"/>
          <w:color w:val="000000"/>
        </w:rPr>
        <w:t>建设成效</w:t>
      </w:r>
      <w:bookmarkEnd w:id="15"/>
    </w:p>
    <w:p>
      <w:pPr>
        <w:ind w:firstLine="480"/>
        <w:rPr>
          <w:color w:val="000000"/>
        </w:rPr>
      </w:pPr>
      <w:r>
        <w:rPr>
          <w:rFonts w:hint="eastAsia"/>
          <w:color w:val="000000"/>
        </w:rPr>
        <w:t>（一）粮食综合生产能力大幅提升。2011年以来，按照省委、省政府决策部署，省有关部门会同地方政府，加快实施“千亿斤粮食”工程，按照“灌排设施配套、土地平整肥沃、田间道路畅通、农田林网健全、生产方式先进、产出效益较高”六条高标准农田建设标准，协同在全县大规模开展高标准农田建设，将大量的零散地、中低产田改造成旱涝保收的高产稳产田。通过农田基础设施建设和土壤改良等措施，改善农业生产条件，提高了耕地质量，增强了农田防灾抗灾减灾能力，巩固并提升了粮食综合生产能力，提高了农民种粮的积极性。202</w:t>
      </w:r>
      <w:r>
        <w:rPr>
          <w:color w:val="000000"/>
        </w:rPr>
        <w:t>0</w:t>
      </w:r>
      <w:r>
        <w:rPr>
          <w:rFonts w:hint="eastAsia"/>
          <w:color w:val="000000"/>
        </w:rPr>
        <w:t>年，我县粮食产量再上新高，粮食总产量达到</w:t>
      </w:r>
      <w:r>
        <w:rPr>
          <w:color w:val="000000"/>
        </w:rPr>
        <w:t>116.1</w:t>
      </w:r>
      <w:r>
        <w:rPr>
          <w:rFonts w:hint="eastAsia"/>
          <w:color w:val="000000"/>
        </w:rPr>
        <w:t>万吨，增长率1</w:t>
      </w:r>
      <w:r>
        <w:rPr>
          <w:color w:val="000000"/>
        </w:rPr>
        <w:t>.57%</w:t>
      </w:r>
      <w:r>
        <w:rPr>
          <w:rFonts w:hint="eastAsia"/>
          <w:color w:val="000000"/>
        </w:rPr>
        <w:t>，农业增加值1</w:t>
      </w:r>
      <w:r>
        <w:rPr>
          <w:color w:val="000000"/>
        </w:rPr>
        <w:t>8.6</w:t>
      </w:r>
      <w:r>
        <w:rPr>
          <w:rFonts w:hint="eastAsia"/>
          <w:color w:val="000000"/>
        </w:rPr>
        <w:t>亿元。为保障白城市粮食安全提供了坚实基础。</w:t>
      </w:r>
    </w:p>
    <w:p>
      <w:pPr>
        <w:ind w:firstLine="480"/>
        <w:rPr>
          <w:color w:val="000000"/>
        </w:rPr>
      </w:pPr>
      <w:r>
        <w:rPr>
          <w:rFonts w:hint="eastAsia"/>
          <w:color w:val="000000"/>
        </w:rPr>
        <w:t>（二）积极推进农业生产方式转型升级。集中连片田块整治解决了耕地碎片化、土壤改良提高了耕地质量、田间基础设施建设提升了农田生产能力。运用了农作物化控技术、生物防治技术、节水保水技术、农业信息技术等，解决了诸多农业技术难题，实现了机械化、科技化、可持续的农业生产。同时，培育新型农业经营主体，重视现代化农业人才培养，有效推动了农业经营方式、生产方式、资源利用方式的转变。通过对“田、土、水、路、林”等综合治理，建成田成方、林成网、路相通、渠相连、旱能灌、涝能排、机能行的农田。经典型项目调查表明，通过高标准农田建设，减少田间耕作成本5—15%，主要粮食作物耕种收综合机械化率达91%，显著提升了农业的综合效益和竞争力，推动了传统农业向现代农业的转型升级。</w:t>
      </w:r>
    </w:p>
    <w:p>
      <w:pPr>
        <w:ind w:firstLine="480"/>
        <w:rPr>
          <w:color w:val="000000"/>
        </w:rPr>
      </w:pPr>
      <w:r>
        <w:rPr>
          <w:rFonts w:hint="eastAsia"/>
          <w:color w:val="000000"/>
        </w:rPr>
        <w:t>（三）农田生态环境系统持续改善。高标准农田通过“田、土、水、路、林”等综合治理，优化和美化了农田空间格局，增加了农田生态防护能力，减少了农田水土流失，提高了农业生产投入品利用率，降低了农业面源污染。同时，保护了农田生态环境，理顺了农田平面结构，改善了农田利用方式，是对山水林田湖草生态系统的修复和保护。实施后的高标准农田，耕地生态得到恢复，生物多样性得到有效保护，农村环境不断改善，农田生态系统更加稳定，为加快推进田园式农业农村现代化奠定了坚实基础。</w:t>
      </w:r>
    </w:p>
    <w:p>
      <w:pPr>
        <w:ind w:firstLine="480"/>
        <w:rPr>
          <w:color w:val="000000"/>
        </w:rPr>
      </w:pPr>
      <w:r>
        <w:rPr>
          <w:rFonts w:hint="eastAsia"/>
          <w:color w:val="000000"/>
        </w:rPr>
        <w:t>（四）农田基础设施建设进一步提高。“十二五”以来，我县大力开展高标准农田建设，通过新建提水泵站和灌溉机井等水源工程，以及灌溉水渠衬砌、低压管道输水、喷灌滴灌等节水灌溉措施等，不断完善和加强建设小型农田水利设施，改善并增加了有效灌溉面积，提高了田间灌溉水利用效率，使我县农田灌溉条件明显改善，效果显著。随着田块集中规整，田间道路建设和农田防护工程持续完善，提升了农业机械化程度。此外，供电网络和智能化建设，使农田输、供电水平和质量不断提高，也为农田机械化和智能化运行提供了重要保障。</w:t>
      </w:r>
    </w:p>
    <w:p>
      <w:pPr>
        <w:ind w:firstLine="480"/>
        <w:rPr>
          <w:color w:val="000000"/>
        </w:rPr>
      </w:pPr>
      <w:r>
        <w:rPr>
          <w:rFonts w:hint="eastAsia"/>
          <w:color w:val="000000"/>
        </w:rPr>
        <w:t>（五）土壤理化性状得到改善。通过施有机肥、秸秆还田、深耕深松、秸秆碎混还田、秸秆肥堆沤还田、脱硫石膏治碱、客砂（土）压碱、暗管排碱以及灌水洗盐等土壤改良措施，采取化学改良、物理改良和生物改良相结合的方式，大力推广“梨树模式”，提高了耕地质量，尤其我县部分地区土壤有机质含量增高、pH值有所改善，提高了我县粮食综合生产能力，为白城市粮食安全和补充耕地作出了贡献。</w:t>
      </w:r>
    </w:p>
    <w:p>
      <w:pPr>
        <w:ind w:firstLine="480"/>
        <w:rPr>
          <w:color w:val="000000"/>
        </w:rPr>
      </w:pPr>
      <w:r>
        <w:rPr>
          <w:rFonts w:hint="eastAsia"/>
          <w:color w:val="000000"/>
        </w:rPr>
        <w:t>（六）拓宽了农民增收致富渠道。通过高标准农田建设，完善了农田基础设施、提高了耕地质量、改善了农业生产生活条件、降低了农业生产成本、提高了耕地产出效率、增加了土地流转收入、显著提高了农业生产综合效益。同时，开展高标准农田示范区建设，在稳定粮食产能基础上，还积极支持优质蔬菜、稻田文化、稻米产业和乡村旅游等特色产业发展，不仅提升了粮食、经济等作物的生产效益，还拓展了农民二、三产业的就业机会，并为促进农民增收奠定了良好的产业基础。</w:t>
      </w:r>
    </w:p>
    <w:p>
      <w:pPr>
        <w:pStyle w:val="3"/>
        <w:rPr>
          <w:color w:val="000000"/>
        </w:rPr>
      </w:pPr>
      <w:bookmarkStart w:id="16" w:name="_Toc119750176"/>
      <w:r>
        <w:rPr>
          <w:color w:val="000000"/>
        </w:rPr>
        <w:t>2.2</w:t>
      </w:r>
      <w:r>
        <w:rPr>
          <w:rFonts w:hint="eastAsia"/>
          <w:color w:val="000000"/>
        </w:rPr>
        <w:t>建设经验</w:t>
      </w:r>
      <w:bookmarkEnd w:id="16"/>
    </w:p>
    <w:p>
      <w:pPr>
        <w:ind w:firstLine="480"/>
        <w:rPr>
          <w:rFonts w:hint="eastAsia"/>
          <w:color w:val="000000"/>
        </w:rPr>
      </w:pPr>
      <w:r>
        <w:rPr>
          <w:rFonts w:hint="eastAsia"/>
          <w:color w:val="000000"/>
        </w:rPr>
        <w:t>（一）坚持科学规划，规范布局。我县在高标准农田建设过程中，坚持统一规划，全面发展，注重规划的预见性和前瞻性，统筹考虑土地利用总体规划、城乡建设规划、基本农田规划等，出台了《吉林省高标准农田建设总体规划（2010—2020年）》。通过分区分类施策，充分发挥各地自然资源优势、区位优势，因地制宜全面推动高标准农田建设。建立各项规章制度和保障措施，保证项目决策科学化、项目流程程序化和管理规范化，使项目资金和项目管理的各个环节有章可循，确保资金规范分配、安全运行和有效使用。</w:t>
      </w:r>
    </w:p>
    <w:p>
      <w:pPr>
        <w:ind w:firstLine="480"/>
        <w:rPr>
          <w:color w:val="000000"/>
        </w:rPr>
      </w:pPr>
      <w:r>
        <w:rPr>
          <w:rFonts w:hint="eastAsia"/>
          <w:color w:val="000000"/>
        </w:rPr>
        <w:t>（二）坚持机制统一，高效管理。2019年，党中央、国务院对农田建设管理职能进行了调整，将农田建设项目管理职责整合到农业农村部门统一管理，切实改变过去农田建设“五牛下田、分散管理”的局面，全面实现“五统一”。我县进一步理顺体制机制、加大建设资金整合力度，初步构建了完善统一规划布局、建设标准、组织实施、验收考核和上图入库的管理新体制，为统筹推进高标准农田建设工作奠定了坚实基础。</w:t>
      </w:r>
    </w:p>
    <w:p>
      <w:pPr>
        <w:ind w:firstLine="480"/>
        <w:rPr>
          <w:color w:val="000000"/>
        </w:rPr>
      </w:pPr>
      <w:r>
        <w:rPr>
          <w:rFonts w:hint="eastAsia"/>
          <w:color w:val="000000"/>
        </w:rPr>
        <w:t>（三）坚持集中连片，规模化建设。我县在高标准农田建设中始终坚持“集中投入、连片整治、规模化建设”的整治模式，整治一片，见效一片，稳定一片。统筹安排各类建设资金集中投入，重点围绕“田、土、水、路、林、电、技、管”8个方面开展建设，开展高标准农田建设整县推进试点，引导和发展整市推进，对重点村镇进行规模化建设。重点突出农田基础设施建设，按照现代化农业发展需要安排基础设施配套，解决了当地农业生产的主要制约因素，建成了一批旱涝保收的高产稳产农田，实现由“粮田”到“良田”的转变。</w:t>
      </w:r>
    </w:p>
    <w:p>
      <w:pPr>
        <w:ind w:firstLine="480"/>
        <w:rPr>
          <w:color w:val="000000"/>
        </w:rPr>
      </w:pPr>
      <w:r>
        <w:rPr>
          <w:rFonts w:hint="eastAsia"/>
          <w:color w:val="000000"/>
        </w:rPr>
        <w:t>（四）坚持农民主体，鼓励多元化。我县在高标准农田建设实践中坚持以农民为主体，充分尊重农民的意愿，保证农民在项目建设中的参与权、受益权和监督权，充分调动农民的积极性，为农民谋利益，较好地兼顾了保障国家粮食安全与促进农民增收两个目标。同时，重视高素质农民的培育工作，积极成立培训小组，落实培训任务，完善培训设施，在此基础上吸引年轻人返乡发展，培养一批批懂技术、善经营、会管理的高素质农民，为农村发展注入源源不断的活力。</w:t>
      </w:r>
    </w:p>
    <w:p>
      <w:pPr>
        <w:pStyle w:val="3"/>
        <w:rPr>
          <w:color w:val="000000"/>
        </w:rPr>
      </w:pPr>
      <w:bookmarkStart w:id="17" w:name="_Toc119750177"/>
      <w:r>
        <w:rPr>
          <w:color w:val="000000"/>
        </w:rPr>
        <w:t>2.3</w:t>
      </w:r>
      <w:r>
        <w:rPr>
          <w:rFonts w:hint="eastAsia"/>
          <w:color w:val="000000"/>
        </w:rPr>
        <w:t>有利条件</w:t>
      </w:r>
      <w:bookmarkEnd w:id="17"/>
    </w:p>
    <w:p>
      <w:pPr>
        <w:ind w:firstLine="480"/>
        <w:rPr>
          <w:rFonts w:hint="eastAsia"/>
          <w:color w:val="000000"/>
        </w:rPr>
      </w:pPr>
      <w:r>
        <w:rPr>
          <w:rFonts w:hint="eastAsia"/>
          <w:color w:val="000000"/>
        </w:rPr>
        <w:t>（一）党中央、国务院高度重视高标准农田建设。习近平总书记反复强调：解决靠天吃饭问题，根本一条就是大兴农田水利，明确要求把高标准农田建设好，把农田水利搞上去。李克强总理多次作出专门批示，强调要实施好“藏粮于地、藏粮于技”战略，加强规划布局，把高标准农田建设摆在更加突出的位置，作为落实粮食安全省长责任制的重要内容，扎实推进建设，健全农田管护机制。中央一号文件连续多年把高标准农田建设作为乡村振兴的重要内容，系统部署推进高标准农田建设工作。省委、省政府认真贯彻落实党中央决策部署，将高标准农田建设放在全省“三农”工作全局中谋划推动，深入落实“藏粮于地、藏粮于技”战略，大力推进高标准农田建设，取得了明显成效。</w:t>
      </w:r>
    </w:p>
    <w:p>
      <w:pPr>
        <w:ind w:firstLine="480"/>
        <w:rPr>
          <w:color w:val="000000"/>
        </w:rPr>
      </w:pPr>
      <w:r>
        <w:rPr>
          <w:rFonts w:hint="eastAsia"/>
          <w:color w:val="000000"/>
        </w:rPr>
        <w:t>（二）具备了良好的工作基础。2015年1月22日，国务院发布了《关于建立健全粮食安全省长责任制的若干意见》，对建立健全粮食安全省长责任制作出全面部署，明确了省级人民政府承担保障本地区粮食安全的主体责任、保质保量按期完成全国高标准农田建设总体规划分配的建设任务。我省各级政府认真贯彻和落实文件精神，建立健全各项规章制度，培养了专业人才队伍，积累了丰富的经验，加快推进全省高标准农田建设，建成了大片集中的“旱能灌、涝能排”、高产稳产的高标准农田，使高标准农田建设具备了良好的实践经验和工作基础。</w:t>
      </w:r>
    </w:p>
    <w:p>
      <w:pPr>
        <w:ind w:firstLine="480"/>
        <w:rPr>
          <w:rFonts w:hint="eastAsia"/>
          <w:color w:val="000000"/>
        </w:rPr>
      </w:pPr>
      <w:r>
        <w:rPr>
          <w:rFonts w:hint="eastAsia"/>
          <w:color w:val="000000"/>
        </w:rPr>
        <w:t>（三）形成了广泛社会共识。“十二五”以来的实践表明，高标准农田建设目的是保证中国的粮食产量和粮食安全、提升农田等级、增加农民收入。其意义在于实现经济、社会、生态三方效益共赢，有力地推动了新农村建设步伐，解决了农村目前部分可耕地高低不平、农田环境面貌零乱、农田灌排系统不配套、抗灾能力较低等问题，提高了耕地质量，增加了耕地面积，有效地增加了农民的收入。这是一项功在当代、利在千秋、惠及全民的德政工程，社会各界高度认同，农民群众普遍欢迎。</w:t>
      </w:r>
    </w:p>
    <w:p>
      <w:pPr>
        <w:ind w:firstLine="480"/>
        <w:rPr>
          <w:rFonts w:hint="eastAsia"/>
          <w:color w:val="000000"/>
        </w:rPr>
      </w:pPr>
      <w:r>
        <w:rPr>
          <w:rFonts w:hint="eastAsia"/>
          <w:color w:val="000000"/>
        </w:rPr>
        <w:t>（四）实践探索积累了丰富经验。多年来，省委、省政府</w:t>
      </w:r>
      <w:r>
        <w:rPr>
          <w:rFonts w:hint="eastAsia"/>
          <w:color w:val="000000"/>
          <w:lang w:eastAsia="zh-CN"/>
        </w:rPr>
        <w:t>高</w:t>
      </w:r>
      <w:r>
        <w:rPr>
          <w:rFonts w:hint="eastAsia"/>
          <w:color w:val="000000"/>
        </w:rPr>
        <w:t>度重视高标准农田建设，通过实践探索以政府为主导、部门实施、科学选点、统筹规划、整合项目、规模开发、归口申报、有序推进、整体验收、各记其功的项目建设机制，有效整合涉农资金，打造了高标准农田建设示范工程，熟化了技术措施，扩大了人才队伍，积累了丰富工作经验，已建成了3473万亩集中连片、旱保收、高产稳产的高标准农田，为高质量实施高标准农田建设提供了丰富的实践经验和路径借鉴。</w:t>
      </w:r>
      <w:bookmarkStart w:id="103" w:name="_GoBack"/>
      <w:bookmarkEnd w:id="103"/>
    </w:p>
    <w:p>
      <w:pPr>
        <w:ind w:firstLine="480"/>
        <w:rPr>
          <w:color w:val="000000"/>
        </w:rPr>
      </w:pPr>
      <w:r>
        <w:rPr>
          <w:rFonts w:hint="eastAsia"/>
          <w:color w:val="000000"/>
        </w:rPr>
        <w:t>（五）推动技术合作。2021年7月白城市在全省率先与中科院东北地理所签订了《共同实施“黑土粮仓”科技会战框架协议》，重点针对吉林西部盐碱地影响农业发展的关键性问题，通过在大安、镇赉、洮南、洮北等地建设6个盐碱地治理及高效利用示范区，探索加强黑土地保护与利用，以科技集成促进粮食增产，进而推动白城市农业高质高效发展。2022年2月14日，白城市镇赉县人民政府与中国科学院东北地理所签署“黑土粮仓”科技会战框架协议。镇赉示范区以生态、绿色、品牌作为主攻方向，重点围绕吉宏6号、中科发5号等高产优质抗逆品种、稻蟹综合种养、绿色防控、数字农业、品牌化开展核心示范区建设，优先向示范区配置资源，通过科技会战为镇赉县由水稻种植大县向水稻种植强县的转型提供有力科技支撑。</w:t>
      </w:r>
    </w:p>
    <w:p>
      <w:pPr>
        <w:pStyle w:val="3"/>
        <w:rPr>
          <w:rFonts w:hint="eastAsia"/>
          <w:color w:val="000000"/>
        </w:rPr>
      </w:pPr>
      <w:bookmarkStart w:id="18" w:name="_Toc119750178"/>
      <w:r>
        <w:rPr>
          <w:color w:val="000000"/>
        </w:rPr>
        <w:t>2.4</w:t>
      </w:r>
      <w:r>
        <w:rPr>
          <w:rFonts w:hint="eastAsia"/>
          <w:color w:val="000000"/>
        </w:rPr>
        <w:t>主要问题</w:t>
      </w:r>
      <w:bookmarkEnd w:id="18"/>
      <w:r>
        <w:rPr>
          <w:rFonts w:hint="eastAsia"/>
          <w:color w:val="000000"/>
        </w:rPr>
        <w:t xml:space="preserve"> </w:t>
      </w:r>
      <w:r>
        <w:rPr>
          <w:color w:val="000000"/>
        </w:rPr>
        <w:t xml:space="preserve">          </w:t>
      </w:r>
    </w:p>
    <w:p>
      <w:pPr>
        <w:spacing w:after="3"/>
        <w:ind w:left="2" w:right="2" w:firstLine="480"/>
        <w:rPr>
          <w:color w:val="000000"/>
        </w:rPr>
      </w:pPr>
      <w:r>
        <w:rPr>
          <w:rFonts w:hint="eastAsia"/>
          <w:color w:val="000000"/>
        </w:rPr>
        <w:t>（一）建设任务较为艰巨。通过多年建设实施，目前我县已建成高标准农田</w:t>
      </w:r>
      <w:r>
        <w:rPr>
          <w:color w:val="000000"/>
        </w:rPr>
        <w:t>165.40</w:t>
      </w:r>
      <w:r>
        <w:rPr>
          <w:rFonts w:hint="eastAsia"/>
          <w:color w:val="000000"/>
        </w:rPr>
        <w:t>万亩，仅占全县总耕地面积的48%，剩余的耕地仍然存在着基础设施薄弱、抗灾能力不强、耕地质量不高、田块细碎化等问题，尚未全面实现“旱涝保收、稳产增产”，新增建设任务十分繁重。同时，受到自然灾害破坏等因素影响，部分已建成高标准农田不同程度存在着工程不配套、设施损毁等问题，影响农田使用成效，改造提升任务仍然艰巨。部分已建高标准农田无论是数量规模还是质量等级，都不适应农业高质量发展的要求。各乡镇已建高标准农田及现有耕地情况见表2</w:t>
      </w:r>
      <w:r>
        <w:rPr>
          <w:color w:val="000000"/>
        </w:rPr>
        <w:t>.4-1</w:t>
      </w:r>
      <w:r>
        <w:rPr>
          <w:rFonts w:hint="eastAsia"/>
          <w:color w:val="000000"/>
        </w:rPr>
        <w:t>。</w:t>
      </w:r>
    </w:p>
    <w:p>
      <w:pPr>
        <w:spacing w:after="3"/>
        <w:ind w:left="2" w:right="2" w:hanging="2" w:firstLineChars="0"/>
        <w:rPr>
          <w:rFonts w:hint="eastAsia"/>
          <w:b/>
          <w:bCs/>
          <w:color w:val="000000"/>
        </w:rPr>
      </w:pPr>
      <w:r>
        <w:rPr>
          <w:rFonts w:hint="eastAsia"/>
          <w:b/>
          <w:bCs/>
          <w:color w:val="000000"/>
        </w:rPr>
        <w:t>表</w:t>
      </w:r>
      <w:r>
        <w:rPr>
          <w:b/>
          <w:bCs/>
          <w:color w:val="000000"/>
        </w:rPr>
        <w:t xml:space="preserve">2.4-1              </w:t>
      </w:r>
      <w:r>
        <w:rPr>
          <w:rFonts w:hint="eastAsia"/>
          <w:b/>
          <w:bCs/>
          <w:color w:val="000000"/>
        </w:rPr>
        <w:t>各乡镇已建高标准农田及现有耕地情况表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54"/>
        <w:gridCol w:w="2500"/>
        <w:gridCol w:w="1644"/>
        <w:gridCol w:w="16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乡镇名称</w:t>
            </w:r>
          </w:p>
        </w:tc>
        <w:tc>
          <w:tcPr>
            <w:tcW w:w="1388" w:type="pct"/>
            <w:noWrap/>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已建高标准农田面积</w:t>
            </w:r>
          </w:p>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b/>
                <w:bCs/>
                <w:snapToGrid/>
                <w:color w:val="000000"/>
                <w:sz w:val="21"/>
                <w:szCs w:val="21"/>
              </w:rPr>
              <w:t>（万亩）</w:t>
            </w:r>
          </w:p>
        </w:tc>
        <w:tc>
          <w:tcPr>
            <w:tcW w:w="913" w:type="pct"/>
            <w:noWrap/>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现有耕地</w:t>
            </w:r>
          </w:p>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b/>
                <w:bCs/>
                <w:snapToGrid/>
                <w:color w:val="000000"/>
                <w:sz w:val="21"/>
                <w:szCs w:val="21"/>
              </w:rPr>
              <w:t>（万亩）</w:t>
            </w:r>
          </w:p>
        </w:tc>
        <w:tc>
          <w:tcPr>
            <w:tcW w:w="892" w:type="pct"/>
            <w:noWrap/>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剩余耕地面积</w:t>
            </w:r>
          </w:p>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b/>
                <w:bCs/>
                <w:snapToGrid/>
                <w:color w:val="000000"/>
                <w:sz w:val="21"/>
                <w:szCs w:val="21"/>
              </w:rPr>
              <w:t>（万亩）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镇赉镇</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6.25</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35.34</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29.65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坦途镇</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23.57</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27.86</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11.38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东屏镇</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13.62</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16.68</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10.91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大屯镇</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5.01</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27.25</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22.51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沿江镇</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0.00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17.18</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17.18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五棵树镇</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12.81</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30</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17.93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黑鱼泡镇</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3.05</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47.35</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44.44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哈吐气蒙古族乡</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19.18</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13.41</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莫莫格蒙古族乡</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1.75</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17.85</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16.67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建平乡</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40.45</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33.2</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9.49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嘎什根乡</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10.58</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28.39</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18.52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白沙滩灌区</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0.00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到保农场</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0.00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复兴马场</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6.12</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3.05</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葛连昭马场</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4.44</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4.58</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九龙山马场</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0.00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3.75</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3.75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白音套海畜牧场</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1.90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2.64</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65052部队洮南训练场</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0.00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2.02</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中国人民解放军95988部队</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0.00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0</w:t>
            </w:r>
            <w:r>
              <w:rPr>
                <w:rFonts w:ascii="宋体" w:hAnsi="宋体" w:cs="宋体"/>
                <w:snapToGrid/>
                <w:color w:val="000000"/>
                <w:sz w:val="21"/>
                <w:szCs w:val="21"/>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吉林省监狱管理局镇赉分局</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16.30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23.96</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10.84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大岗林场</w:t>
            </w:r>
          </w:p>
        </w:tc>
        <w:tc>
          <w:tcPr>
            <w:tcW w:w="1388"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0.37</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11.55</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东方红留守处</w:t>
            </w:r>
          </w:p>
        </w:tc>
        <w:tc>
          <w:tcPr>
            <w:tcW w:w="1388"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莫莫格林场</w:t>
            </w:r>
          </w:p>
        </w:tc>
        <w:tc>
          <w:tcPr>
            <w:tcW w:w="1388"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镇赉种猪场</w:t>
            </w:r>
          </w:p>
        </w:tc>
        <w:tc>
          <w:tcPr>
            <w:tcW w:w="1388"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c>
          <w:tcPr>
            <w:tcW w:w="913"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c>
          <w:tcPr>
            <w:tcW w:w="892" w:type="pct"/>
            <w:noWrap/>
            <w:vAlign w:val="top"/>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7"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合计</w:t>
            </w:r>
          </w:p>
        </w:tc>
        <w:tc>
          <w:tcPr>
            <w:tcW w:w="1388"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165.40</w:t>
            </w:r>
          </w:p>
        </w:tc>
        <w:tc>
          <w:tcPr>
            <w:tcW w:w="913" w:type="pct"/>
            <w:noWrap/>
            <w:vAlign w:val="top"/>
          </w:tcPr>
          <w:p>
            <w:pPr>
              <w:widowControl/>
              <w:adjustRightInd/>
              <w:snapToGrid/>
              <w:spacing w:line="240" w:lineRule="auto"/>
              <w:ind w:firstLine="0" w:firstLineChars="0"/>
              <w:jc w:val="center"/>
              <w:rPr>
                <w:rFonts w:ascii="宋体" w:hAnsi="宋体" w:cs="宋体"/>
                <w:b/>
                <w:bCs/>
                <w:snapToGrid/>
                <w:color w:val="000000"/>
                <w:sz w:val="21"/>
                <w:szCs w:val="21"/>
              </w:rPr>
            </w:pPr>
            <w:r>
              <w:rPr>
                <w:rFonts w:ascii="宋体" w:hAnsi="宋体" w:cs="宋体"/>
                <w:b/>
                <w:bCs/>
                <w:snapToGrid/>
                <w:color w:val="000000"/>
                <w:sz w:val="21"/>
                <w:szCs w:val="21"/>
              </w:rPr>
              <w:t>346.06</w:t>
            </w:r>
          </w:p>
        </w:tc>
        <w:tc>
          <w:tcPr>
            <w:tcW w:w="892" w:type="pct"/>
            <w:noWrap/>
            <w:vAlign w:val="top"/>
          </w:tcPr>
          <w:p>
            <w:pPr>
              <w:widowControl/>
              <w:adjustRightInd/>
              <w:snapToGrid/>
              <w:spacing w:line="240" w:lineRule="auto"/>
              <w:ind w:firstLine="0" w:firstLineChars="0"/>
              <w:jc w:val="center"/>
              <w:rPr>
                <w:rFonts w:ascii="宋体" w:hAnsi="宋体" w:cs="宋体"/>
                <w:b/>
                <w:bCs/>
                <w:snapToGrid/>
                <w:color w:val="000000"/>
                <w:sz w:val="21"/>
                <w:szCs w:val="21"/>
              </w:rPr>
            </w:pPr>
            <w:r>
              <w:rPr>
                <w:rFonts w:ascii="宋体" w:hAnsi="宋体" w:cs="宋体"/>
                <w:b/>
                <w:bCs/>
                <w:snapToGrid/>
                <w:color w:val="000000"/>
                <w:sz w:val="21"/>
                <w:szCs w:val="21"/>
              </w:rPr>
              <w:t>231.23</w:t>
            </w:r>
          </w:p>
        </w:tc>
      </w:tr>
    </w:tbl>
    <w:p>
      <w:pPr>
        <w:spacing w:after="3"/>
        <w:ind w:left="2" w:right="2" w:firstLine="480"/>
        <w:rPr>
          <w:color w:val="000000"/>
        </w:rPr>
      </w:pPr>
      <w:r>
        <w:rPr>
          <w:rFonts w:hint="eastAsia"/>
          <w:color w:val="000000"/>
        </w:rPr>
        <w:t>（二）建设标准偏低。目前，我县高标准农田建设亩均投资仅为</w:t>
      </w:r>
      <w:r>
        <w:rPr>
          <w:color w:val="000000"/>
        </w:rPr>
        <w:t>1318.21</w:t>
      </w:r>
      <w:r>
        <w:rPr>
          <w:rFonts w:hint="eastAsia"/>
          <w:color w:val="000000"/>
        </w:rPr>
        <w:t>元，已建成项目大部分都是低标准达标，仅能开展田间道路、灌排渠道及农田输配电等基本设施建设，建设内容普遍缺少增施有机肥、秸秆还田综合利用、田间自动监测、智能化灌溉及可视化监控等农艺、科技措施，难以生成稳定综合生产优势。已建项目亩均投资情况见表2</w:t>
      </w:r>
      <w:r>
        <w:rPr>
          <w:color w:val="000000"/>
        </w:rPr>
        <w:t>.4-2</w:t>
      </w:r>
      <w:r>
        <w:rPr>
          <w:rFonts w:hint="eastAsia"/>
          <w:color w:val="000000"/>
        </w:rPr>
        <w:t>。</w:t>
      </w:r>
    </w:p>
    <w:p>
      <w:pPr>
        <w:spacing w:after="3"/>
        <w:ind w:left="2" w:right="2" w:hanging="2" w:firstLineChars="0"/>
        <w:rPr>
          <w:rFonts w:hint="eastAsia"/>
          <w:b/>
          <w:bCs/>
          <w:color w:val="000000"/>
        </w:rPr>
      </w:pPr>
      <w:r>
        <w:rPr>
          <w:rFonts w:hint="eastAsia"/>
          <w:b/>
          <w:bCs/>
          <w:color w:val="000000"/>
        </w:rPr>
        <w:t>表</w:t>
      </w:r>
      <w:r>
        <w:rPr>
          <w:b/>
          <w:bCs/>
          <w:color w:val="000000"/>
        </w:rPr>
        <w:t xml:space="preserve">2.4-2                  </w:t>
      </w:r>
      <w:r>
        <w:rPr>
          <w:rFonts w:hint="eastAsia"/>
          <w:b/>
          <w:bCs/>
          <w:color w:val="000000"/>
        </w:rPr>
        <w:t>已建项目亩均投资情况表</w:t>
      </w:r>
    </w:p>
    <w:tbl>
      <w:tblPr>
        <w:tblStyle w:val="11"/>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4854"/>
        <w:gridCol w:w="1067"/>
        <w:gridCol w:w="1200"/>
        <w:gridCol w:w="11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9" w:hRule="atLeast"/>
          <w:tblHeader/>
          <w:jc w:val="center"/>
        </w:trPr>
        <w:tc>
          <w:tcPr>
            <w:tcW w:w="403" w:type="pct"/>
            <w:vMerge w:val="restar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年份</w:t>
            </w:r>
          </w:p>
        </w:tc>
        <w:tc>
          <w:tcPr>
            <w:tcW w:w="2697" w:type="pct"/>
            <w:vMerge w:val="restar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项目名称</w:t>
            </w:r>
          </w:p>
        </w:tc>
        <w:tc>
          <w:tcPr>
            <w:tcW w:w="593"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任务量</w:t>
            </w:r>
          </w:p>
        </w:tc>
        <w:tc>
          <w:tcPr>
            <w:tcW w:w="667"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总投资</w:t>
            </w:r>
          </w:p>
        </w:tc>
        <w:tc>
          <w:tcPr>
            <w:tcW w:w="639"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亩均投资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9" w:hRule="atLeast"/>
          <w:tblHeader/>
          <w:jc w:val="center"/>
        </w:trPr>
        <w:tc>
          <w:tcPr>
            <w:tcW w:w="403" w:type="pct"/>
            <w:vMerge w:val="continue"/>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vMerge w:val="continue"/>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593"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（万亩）</w:t>
            </w:r>
          </w:p>
        </w:tc>
        <w:tc>
          <w:tcPr>
            <w:tcW w:w="667"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（万元）</w:t>
            </w:r>
          </w:p>
        </w:tc>
        <w:tc>
          <w:tcPr>
            <w:tcW w:w="639"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03" w:type="pct"/>
            <w:vMerge w:val="restar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2011</w:t>
            </w:r>
          </w:p>
        </w:tc>
        <w:tc>
          <w:tcPr>
            <w:tcW w:w="2697"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2011年镇赉县东屏镇高标准农田建设示范项目</w:t>
            </w:r>
          </w:p>
        </w:tc>
        <w:tc>
          <w:tcPr>
            <w:tcW w:w="593"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2.00</w:t>
            </w:r>
          </w:p>
        </w:tc>
        <w:tc>
          <w:tcPr>
            <w:tcW w:w="66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2196.00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1098.00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03" w:type="pct"/>
            <w:vMerge w:val="continue"/>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镇赉县实施国家新增千亿斤粮食产能规划2011年田间工程建设项目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0.90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470.00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522.22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2012</w:t>
            </w: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2012年镇赉县高标准基本农田认定项目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1.50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75.00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restart"/>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2013</w:t>
            </w: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2013年水稻产业现代农业园区试点项目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1.10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1125.00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1022.73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镇赉县实施国家新增千亿斤粮食产能规划2013年田间工程建设项目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2.29</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1147.00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500.87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2013年镇赉县高标准基本农田认定项目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3.00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150.00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吉林省西部土地开发整理重大项目镇赉项目区</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107.3</w:t>
            </w:r>
            <w:r>
              <w:rPr>
                <w:rFonts w:ascii="宋体" w:hAnsi="宋体" w:cs="宋体"/>
                <w:snapToGrid/>
                <w:color w:val="000000"/>
                <w:sz w:val="21"/>
                <w:szCs w:val="21"/>
              </w:rPr>
              <w:t>1</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207145.52</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1930.35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restart"/>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2014</w:t>
            </w: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2014年建平乡高标准农田建设项目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0.50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675.00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1350.00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2014年水稻产业现代农业园区试点项目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1.40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1125.00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803.57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镇赉县实施国家新增千亿斤粮食产能规划2014年田间工程建设项目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0.78</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1165.00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1493.59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2014年镇赉县四方坨子高标准基本农田建设稍加整治项目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3.</w:t>
            </w:r>
            <w:r>
              <w:rPr>
                <w:rFonts w:ascii="宋体" w:hAnsi="宋体" w:cs="宋体"/>
                <w:snapToGrid/>
                <w:color w:val="000000"/>
                <w:sz w:val="21"/>
                <w:szCs w:val="21"/>
              </w:rPr>
              <w:t>00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2289.39</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763.13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2014年镇赉县大屯镇大五家子高标准基本农田建设稍加整治项目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0.80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585.16</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736.05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2014年镇赉县莫莫格蒙古族乡高标准基本农田建设稍加整治项目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0.34</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262.87</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775.43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镇赉县东屏镇高标准基本农田建设稍加整治项目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0.75</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468.76</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625.01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镇赉县四方坨子高标准基本农田建设稍加整治项目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3.00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2298.34</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766.11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镇赉县大屯镇高标准基本农田建设稍加整治项目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0.75</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570.06</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760.09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restart"/>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2015</w:t>
            </w: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2015年哈吐气乡高标准农田建设项目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0.89</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1120.00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1258.43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2015年水稻产业现代农业园区试点项目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1.50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1125.00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750.00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镇赉县2015年实施国家新增千亿斤粮食产能规划田间工程建设项目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0.87</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1311.00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1506.90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2015年镇赉县五棵树镇高标准基本农田建设稍加整治项目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0.5</w:t>
            </w:r>
            <w:r>
              <w:rPr>
                <w:rFonts w:ascii="宋体" w:hAnsi="宋体" w:cs="宋体"/>
                <w:snapToGrid/>
                <w:color w:val="000000"/>
                <w:sz w:val="21"/>
                <w:szCs w:val="21"/>
              </w:rPr>
              <w:t>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385.33</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770.67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2015年镇赉县嘎什根乡高标准基本农田建设稍加整治项目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0.33</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250.74</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759.82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2015年镇赉县四方坨子高标准基本农田建设稍加整治项目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2.44</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1725.03</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706.98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2015年镇赉县坦途镇高标准基本农田建设稍加整治项目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0.60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458.16</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763.60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2015年镇赉县建平乡高标准基本农田建设稍加整治项目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0.45</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335.50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745.55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restart"/>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2016</w:t>
            </w: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2016年哈吐气乡高标准农田建设项目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1.50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1890.00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1260.00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镇赉县2016年实施国家新增千亿斤粮食产能规划田间工程建设项目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0.87</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1311.00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1506.90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restart"/>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2017</w:t>
            </w: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镇赉县2017年高标准农田建设（补改结合土地整治）项目（五棵树区片）</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0.6</w:t>
            </w:r>
            <w:r>
              <w:rPr>
                <w:rFonts w:ascii="宋体" w:hAnsi="宋体" w:cs="宋体"/>
                <w:snapToGrid/>
                <w:color w:val="000000"/>
                <w:sz w:val="21"/>
                <w:szCs w:val="21"/>
              </w:rPr>
              <w:t>7</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839.62</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1253.16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镇赉县2017年高标准农田建设（补改结合土地整治）项目（坦途镇、东屏镇区片）</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1.50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1478.01</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985.34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镇赉县2017年高标准农田建设（补改结合土地整治）项目（镇赉镇、黑鱼泡镇区片）</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1.67</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1758.37</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1054.18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restart"/>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2018</w:t>
            </w: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镇赉县2018年高标准农田建设坦途镇、东屏镇（补改结合土地整治）项目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1.35</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1231.61</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911.63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镇赉县2018年高标准农田建设镇赉镇（补改结合土地整治）项目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1.36</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1230.30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905.30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镇赉县2018年高标准农田建设黑鱼泡镇（补改结合土地整治）项目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1.53</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1181.27</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773.08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restart"/>
            <w:shd w:val="clear" w:color="auto" w:fill="FFFFFF"/>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2020</w:t>
            </w: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吉林省镇赉县2020年高标准农田建设项目</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12.30</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16100.00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1303.01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vMerge w:val="continue"/>
            <w:shd w:val="clear" w:color="auto" w:fill="FFFFFF"/>
            <w:noWrap/>
            <w:vAlign w:val="center"/>
          </w:tcPr>
          <w:p>
            <w:pPr>
              <w:widowControl/>
              <w:adjustRightInd/>
              <w:snapToGrid/>
              <w:spacing w:line="240" w:lineRule="auto"/>
              <w:ind w:firstLine="0" w:firstLineChars="0"/>
              <w:jc w:val="left"/>
              <w:rPr>
                <w:rFonts w:hint="eastAsia" w:ascii="宋体" w:hAnsi="宋体" w:cs="宋体"/>
                <w:snapToGrid/>
                <w:color w:val="000000"/>
                <w:sz w:val="21"/>
                <w:szCs w:val="21"/>
              </w:rPr>
            </w:pPr>
          </w:p>
        </w:tc>
        <w:tc>
          <w:tcPr>
            <w:tcW w:w="2697"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镇赉县2020年高标准农田建设项目（第二批）</w:t>
            </w:r>
          </w:p>
        </w:tc>
        <w:tc>
          <w:tcPr>
            <w:tcW w:w="593"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5.65</w:t>
            </w:r>
          </w:p>
        </w:tc>
        <w:tc>
          <w:tcPr>
            <w:tcW w:w="667" w:type="pct"/>
            <w:shd w:val="clear" w:color="auto" w:fill="FFFFFF"/>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7382.00</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1318.21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100" w:type="pct"/>
            <w:gridSpan w:val="2"/>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总计</w:t>
            </w:r>
          </w:p>
        </w:tc>
        <w:tc>
          <w:tcPr>
            <w:tcW w:w="593"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165.40</w:t>
            </w:r>
          </w:p>
        </w:tc>
        <w:tc>
          <w:tcPr>
            <w:tcW w:w="66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262861.04</w:t>
            </w:r>
          </w:p>
        </w:tc>
        <w:tc>
          <w:tcPr>
            <w:tcW w:w="639"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p>
        </w:tc>
      </w:tr>
    </w:tbl>
    <w:p>
      <w:pPr>
        <w:spacing w:after="3"/>
        <w:ind w:left="2" w:right="2" w:firstLine="480"/>
        <w:rPr>
          <w:color w:val="000000"/>
        </w:rPr>
      </w:pPr>
      <w:r>
        <w:rPr>
          <w:rFonts w:hint="eastAsia"/>
          <w:color w:val="000000"/>
        </w:rPr>
        <w:t>（三）建成项目集中度不够。多年来，受全县各部门统筹分配高标准农田建设任务的影响，各单体项目规模较小，零散化、碎片化现象普遍，“夹心地”、“插花地”大量存在，不仅未来单独建设难度较大，而且建成的高标准农田未能形成连片规模。</w:t>
      </w:r>
    </w:p>
    <w:p>
      <w:pPr>
        <w:spacing w:after="3"/>
        <w:ind w:left="2" w:right="2" w:firstLine="480"/>
        <w:rPr>
          <w:rFonts w:hint="eastAsia"/>
          <w:color w:val="000000"/>
        </w:rPr>
      </w:pPr>
      <w:r>
        <w:rPr>
          <w:rFonts w:hint="eastAsia"/>
          <w:color w:val="000000"/>
        </w:rPr>
        <w:t>（四）施工工期短，协调工作难度大。本区位于吉林省的西北部，流域地处中纬度区欧亚大陆东缘，在全国气候区划中属于北温带半干旱大陆性季风气候区，受大气环流的影响，在冷暖气团交替控制之下，四季气候变化十分明显。其特点是：春季干燥多风沙，升温迅速；夏季炎热少雨，秋季天高气爽，日温差大；冬季严寒漫长少雪。一年中寒暑温差较大，春秋两季短促，冬季受西北季风影响，流域地处西伯利亚大陆气团控制之下，气候寒冷。日平均气温低于零度时间一般从每年的11月上旬到翌年的3月下旬，长达五个月之久。大部分工程需要避开耕种时期，所以一年中真正能正常施工的时间很少，部分工程需要在冬季施工，导致施工工期紧张，施工难度也很大。</w:t>
      </w:r>
    </w:p>
    <w:p>
      <w:pPr>
        <w:spacing w:after="3"/>
        <w:ind w:left="2" w:right="2" w:firstLine="480"/>
        <w:rPr>
          <w:rFonts w:hint="eastAsia"/>
          <w:color w:val="000000"/>
        </w:rPr>
      </w:pPr>
      <w:r>
        <w:rPr>
          <w:rFonts w:hint="eastAsia"/>
          <w:color w:val="000000"/>
        </w:rPr>
        <w:t>项目初期项目区农民都非常积极，但是施工过程中避免不了需要会遇到开挖占地和暂时影响交通等问题，而且项目区涉及到林业、保护区和电力部门等需要协调的部门，这些协调工作对农业农村局的工作带来艰巨的压力，也会严重的影响项目的工程进度。</w:t>
      </w:r>
    </w:p>
    <w:p>
      <w:pPr>
        <w:spacing w:after="3"/>
        <w:ind w:left="2" w:right="2" w:firstLine="480"/>
        <w:rPr>
          <w:color w:val="000000"/>
        </w:rPr>
      </w:pPr>
      <w:r>
        <w:rPr>
          <w:rFonts w:hint="eastAsia"/>
          <w:color w:val="000000"/>
        </w:rPr>
        <w:t>（五）建后管护薄弱。农田建设三分建、七分管。我县还存在重建设、轻管护的问题，项目建成后普遍移交村级组织、新型农业经营主体、农户等受益主体管理使用，未能有效落实管护责任，日常管护不到位，设施设备损毁后得不到及时有效修复，影响工程效益发挥。</w:t>
      </w:r>
    </w:p>
    <w:p>
      <w:pPr>
        <w:pStyle w:val="3"/>
        <w:rPr>
          <w:color w:val="000000"/>
        </w:rPr>
      </w:pPr>
      <w:bookmarkStart w:id="19" w:name="_Toc119750179"/>
      <w:r>
        <w:rPr>
          <w:color w:val="000000"/>
        </w:rPr>
        <w:t>2.5</w:t>
      </w:r>
      <w:r>
        <w:rPr>
          <w:rFonts w:hint="eastAsia"/>
          <w:color w:val="000000"/>
        </w:rPr>
        <w:t>高标准农田建设的必要性</w:t>
      </w:r>
      <w:bookmarkEnd w:id="19"/>
    </w:p>
    <w:p>
      <w:pPr>
        <w:ind w:firstLine="480"/>
        <w:rPr>
          <w:rFonts w:hint="eastAsia"/>
          <w:color w:val="000000"/>
        </w:rPr>
      </w:pPr>
      <w:r>
        <w:rPr>
          <w:rFonts w:hint="eastAsia"/>
          <w:color w:val="000000"/>
        </w:rPr>
        <w:t>（一）高标准农田建设是提升粮食产能，保障粮食安全的重要基础。守住“谷物基本自给，口粮绝对安全”战略底线，耕地是基础。虽然我县农田建设取得较大进步，但农田水利“最后一公里”问题依然突出，农业靠天吃饭的局面仍未根本改变。耕地</w:t>
      </w:r>
    </w:p>
    <w:p>
      <w:pPr>
        <w:ind w:firstLine="0" w:firstLineChars="0"/>
        <w:rPr>
          <w:rFonts w:hint="eastAsia"/>
          <w:color w:val="000000"/>
        </w:rPr>
      </w:pPr>
      <w:r>
        <w:rPr>
          <w:rFonts w:hint="eastAsia"/>
          <w:color w:val="000000"/>
        </w:rPr>
        <w:t>质量下降，中低产田比重较大、水资源利用率不高，抗御自然灾害的能力差，农业基础设施薄弱等问题未从根本上解决，自然灾害多发、频发、重发对农业影响不断加大。要实现保障粮食等主要农产品有效供给的目标，迫切需要下大力气改造中低产田、建</w:t>
      </w:r>
    </w:p>
    <w:p>
      <w:pPr>
        <w:ind w:firstLine="0" w:firstLineChars="0"/>
        <w:rPr>
          <w:rFonts w:hint="eastAsia"/>
          <w:color w:val="000000"/>
        </w:rPr>
      </w:pPr>
      <w:r>
        <w:rPr>
          <w:rFonts w:hint="eastAsia"/>
          <w:color w:val="000000"/>
        </w:rPr>
        <w:t>设旱涝保收的高标准农田，让“旱能灌、涝能排”、高产稳产的高标准农田成为保障粮食安全的坚实基础。</w:t>
      </w:r>
    </w:p>
    <w:p>
      <w:pPr>
        <w:ind w:firstLine="480"/>
        <w:rPr>
          <w:rFonts w:hint="eastAsia"/>
          <w:color w:val="000000"/>
        </w:rPr>
      </w:pPr>
      <w:r>
        <w:rPr>
          <w:rFonts w:hint="eastAsia"/>
          <w:color w:val="000000"/>
        </w:rPr>
        <w:t>（二）高标准农田建设是提升农田基础设施水平，率先基本实现农业现代化的必然要求。镇赉县有较多农田基础设施建筑物运行年限过久，部分农田灌排设施老化失修、工程不配套，不适合大规模机械化作业，抗御自然灾害能力差。尽管“十二五”以来高标准农田建设取得了显著成绩，但对照农业现代化要求和高质量发展要求，总体上农田基础设施仍是农业农村现代化发展的短板，不能适应现代农业发展的需要。镇赉县要率先基本实现农业现代化，必须加快高标准农田建设，尽快提高农田基础设施建设水平。</w:t>
      </w:r>
    </w:p>
    <w:p>
      <w:pPr>
        <w:ind w:firstLine="480"/>
        <w:rPr>
          <w:rFonts w:hint="eastAsia"/>
          <w:color w:val="000000"/>
        </w:rPr>
      </w:pPr>
      <w:r>
        <w:rPr>
          <w:rFonts w:hint="eastAsia"/>
          <w:color w:val="000000"/>
        </w:rPr>
        <w:t>（三）高标准农田建设是发展现代农业，提升农业科技应用水平的基本前提。发展现代农业需要以现代科技、现代物质装备为支撑，推进农业生产的集约化、专业化、组织化和社会化，建立新型农业经营主体，发展不同形式的农业适度规模经营。通过</w:t>
      </w:r>
    </w:p>
    <w:p>
      <w:pPr>
        <w:ind w:firstLine="0" w:firstLineChars="0"/>
        <w:rPr>
          <w:rFonts w:hint="eastAsia"/>
          <w:color w:val="000000"/>
        </w:rPr>
      </w:pPr>
      <w:r>
        <w:rPr>
          <w:rFonts w:hint="eastAsia"/>
          <w:color w:val="000000"/>
        </w:rPr>
        <w:t>高标准农田建设，改善农田基本条件，推进农业生产机械化、经营规模化，促进农业科技的推广应用，提高农业科技的应用水平。</w:t>
      </w:r>
    </w:p>
    <w:p>
      <w:pPr>
        <w:ind w:firstLine="480"/>
        <w:rPr>
          <w:rFonts w:hint="eastAsia"/>
          <w:color w:val="000000"/>
        </w:rPr>
      </w:pPr>
      <w:r>
        <w:rPr>
          <w:rFonts w:hint="eastAsia"/>
          <w:color w:val="000000"/>
        </w:rPr>
        <w:t>（四）高标准农田建设是促进农业可持续发展，建设“美丽乡村”的现实选择。镇赉县耕地保有量较高，土壤肥沃，但由于多年持续过度开发，耕地质量急剧下降，水土流失严重，面对这样的资源情况，必须推进农业可持续发展。建设高标准农田，推广节水增效技术，防止土壤退化、肥力下降，可促进农业生态环境的良性循环和可持续发展。通过平田整地、沟塘清淤、配套路桥涵闸灌排设施、建设农田林网，改善农村面貌，为建设“美丽乡村”提供生态屏障。</w:t>
      </w:r>
    </w:p>
    <w:p>
      <w:pPr>
        <w:ind w:firstLine="480"/>
        <w:rPr>
          <w:rFonts w:hint="eastAsia"/>
          <w:color w:val="000000"/>
        </w:rPr>
      </w:pPr>
      <w:r>
        <w:rPr>
          <w:rFonts w:hint="eastAsia"/>
          <w:color w:val="000000"/>
        </w:rPr>
        <w:t>（五）高标准农田建设是提高农业比较效益，促进农民增收的有效支撑。通过建设高标准农田，一方面为农业生产的省工、省水、省肥、增产创造基础条件，提高农业的比较效益，促进农民增收；另一方面建设高水平的优质农产品生产基地，提高农业产业化经营水平和农产品附加值，增加农民收入。此外，高标准农田建设可以有效拉动机械、建材、建筑和运输等行业发展，增加农民就业机会和提高收入水平。</w:t>
      </w:r>
    </w:p>
    <w:p>
      <w:pPr>
        <w:spacing w:after="3"/>
        <w:ind w:left="2" w:right="2" w:firstLine="480"/>
        <w:rPr>
          <w:rFonts w:hint="eastAsia"/>
          <w:color w:val="000000"/>
        </w:rPr>
      </w:pPr>
    </w:p>
    <w:p>
      <w:pPr>
        <w:ind w:firstLine="480"/>
        <w:rPr>
          <w:color w:val="000000"/>
          <w:lang w:bidi="ar"/>
        </w:rPr>
        <w:sectPr>
          <w:pgSz w:w="11907" w:h="16840"/>
          <w:pgMar w:top="1418" w:right="1418" w:bottom="1418" w:left="1701" w:header="851" w:footer="1077" w:gutter="0"/>
          <w:pgNumType w:fmt="decimal"/>
          <w:cols w:space="720" w:num="1"/>
          <w:docGrid w:linePitch="312" w:charSpace="0"/>
        </w:sectPr>
      </w:pPr>
    </w:p>
    <w:p>
      <w:pPr>
        <w:pStyle w:val="2"/>
        <w:rPr>
          <w:color w:val="000000"/>
        </w:rPr>
      </w:pPr>
      <w:bookmarkStart w:id="20" w:name="_Toc97667834"/>
      <w:bookmarkStart w:id="21" w:name="_Toc119750180"/>
      <w:r>
        <w:rPr>
          <w:color w:val="000000"/>
        </w:rPr>
        <w:t>3总体要求</w:t>
      </w:r>
      <w:bookmarkEnd w:id="20"/>
      <w:bookmarkEnd w:id="21"/>
    </w:p>
    <w:p>
      <w:pPr>
        <w:pStyle w:val="3"/>
        <w:rPr>
          <w:color w:val="000000"/>
        </w:rPr>
      </w:pPr>
      <w:bookmarkStart w:id="22" w:name="_Toc119750181"/>
      <w:bookmarkStart w:id="23" w:name="_Toc97667835"/>
      <w:r>
        <w:rPr>
          <w:color w:val="000000"/>
        </w:rPr>
        <w:t>3.1指导思想</w:t>
      </w:r>
      <w:bookmarkEnd w:id="22"/>
      <w:bookmarkEnd w:id="23"/>
    </w:p>
    <w:p>
      <w:pPr>
        <w:ind w:firstLine="480"/>
        <w:rPr>
          <w:rFonts w:hint="eastAsia"/>
          <w:color w:val="000000"/>
        </w:rPr>
      </w:pPr>
      <w:r>
        <w:rPr>
          <w:rFonts w:hint="eastAsia"/>
          <w:color w:val="000000"/>
        </w:rPr>
        <w:t>以习近平新时代中国特色社会主义思想为指导，深入贯彻党的十九大和十九届历次全会精神，全面落实习近平总书记视察吉林时提出的“争当现代农业排头兵”重要指示，紧紧围绕实施乡村振兴战略，按照农业高质量发展要求，深入实施“藏粮于地、</w:t>
      </w:r>
    </w:p>
    <w:p>
      <w:pPr>
        <w:ind w:firstLine="0" w:firstLineChars="0"/>
        <w:rPr>
          <w:color w:val="000000"/>
        </w:rPr>
      </w:pPr>
      <w:r>
        <w:rPr>
          <w:rFonts w:hint="eastAsia"/>
          <w:color w:val="000000"/>
        </w:rPr>
        <w:t>藏粮于技”战略，立足确保谷物基本自给、口粮绝对安全，以提升粮食产能为首要目标，以农产品主产区为主体，以永久基本农田、粮食生产功能区、重要农产品生产保护区和黑土地保护区为重点区域，优先建设口粮田，坚持新增建设和改造提升并重、建设数量和建成质量并重、工程建设和建后管护并重，产能提升和绿色发展相协调，统一组织实施与分区分类施策相结合，补齐农业基础设施短板，确保建一块成一块，提高水土资源利用效率，增强农田防灾减灾能力，把建成的高标准农田划分为永久基本农田，实行特殊保护，遏制“非农化”、防止“非粮化”，为保障国家粮食安全和重要农产品有效供给，促进吉林省农业农村现代化提供坚实基础。</w:t>
      </w:r>
    </w:p>
    <w:p>
      <w:pPr>
        <w:pStyle w:val="3"/>
        <w:rPr>
          <w:color w:val="000000"/>
        </w:rPr>
      </w:pPr>
      <w:bookmarkStart w:id="24" w:name="_Toc97667836"/>
      <w:bookmarkStart w:id="25" w:name="_Toc119750182"/>
      <w:r>
        <w:rPr>
          <w:color w:val="000000"/>
        </w:rPr>
        <w:t>3.2</w:t>
      </w:r>
      <w:r>
        <w:rPr>
          <w:rFonts w:hint="eastAsia"/>
          <w:color w:val="000000"/>
        </w:rPr>
        <w:t>工作</w:t>
      </w:r>
      <w:r>
        <w:rPr>
          <w:color w:val="000000"/>
        </w:rPr>
        <w:t>原则</w:t>
      </w:r>
      <w:bookmarkEnd w:id="24"/>
      <w:bookmarkEnd w:id="25"/>
      <w:r>
        <w:rPr>
          <w:color w:val="000000"/>
        </w:rPr>
        <w:tab/>
      </w:r>
    </w:p>
    <w:p>
      <w:pPr>
        <w:ind w:firstLine="480"/>
        <w:rPr>
          <w:color w:val="000000"/>
        </w:rPr>
      </w:pPr>
      <w:r>
        <w:rPr>
          <w:rFonts w:hint="eastAsia"/>
          <w:color w:val="000000"/>
        </w:rPr>
        <w:t>（一）政府主导、多元参与。完善公共财政投入保障机制，在中央财政加大投入力度的同时，切实落实我省及地方政府的投入责任。尊重农民意愿，维护农民权益，扩大决策主体，积极引导广大农民群众、新型经营主体、农村集体经济组织和各类社会资本参与高标准农田建设，形成共谋一碗粮、共抓一块田的工作合力。</w:t>
      </w:r>
    </w:p>
    <w:p>
      <w:pPr>
        <w:ind w:firstLine="480"/>
        <w:rPr>
          <w:rFonts w:hint="eastAsia"/>
          <w:color w:val="000000"/>
        </w:rPr>
      </w:pPr>
      <w:r>
        <w:rPr>
          <w:rFonts w:hint="eastAsia"/>
          <w:color w:val="000000"/>
        </w:rPr>
        <w:t>（二）科学布局、突出重点。衔接国土空间规划、水资源利用等相关专项规划，坚持以水定地，把水资源作为最大的刚性约束，科学合理确定高标准农田建设布局，以永久基本农田为基础，优先在粮食生产功能区和重要农产品生产保护区建设高标准农田，筑牢保障国家粮食和重要农产品安全的首要阵地。</w:t>
      </w:r>
    </w:p>
    <w:p>
      <w:pPr>
        <w:ind w:firstLine="480"/>
        <w:rPr>
          <w:rFonts w:hint="eastAsia"/>
          <w:color w:val="000000"/>
        </w:rPr>
      </w:pPr>
      <w:r>
        <w:rPr>
          <w:rFonts w:hint="eastAsia"/>
          <w:color w:val="000000"/>
        </w:rPr>
        <w:t>（三）建改并举、注重质量。落实高质量发展要求，在保质保量完成新增高标准农田任务的基础上，科学合理的对已建高标准农田进行改造提升，切实解决部分已建高标准农田设施不配套、工程老化、建设标准低等问题，有效提升高标准农田建设质量。</w:t>
      </w:r>
    </w:p>
    <w:p>
      <w:pPr>
        <w:ind w:firstLine="480"/>
        <w:rPr>
          <w:rFonts w:hint="eastAsia"/>
          <w:color w:val="000000"/>
        </w:rPr>
      </w:pPr>
      <w:r>
        <w:rPr>
          <w:rFonts w:hint="eastAsia"/>
          <w:color w:val="000000"/>
        </w:rPr>
        <w:t>（四）绿色生态、土壤健康。将绿色发展理念贯穿于高标准农田建设全过程，切实加强水土资源节约集约循环利用和生态环境保护，强化耕地质量保护与提升，防止土壤污染，实现农业生产与生态保护相协调，持续提升农业综合生产能力。</w:t>
      </w:r>
    </w:p>
    <w:p>
      <w:pPr>
        <w:ind w:firstLine="480"/>
        <w:rPr>
          <w:rFonts w:hint="eastAsia"/>
          <w:color w:val="000000"/>
        </w:rPr>
      </w:pPr>
      <w:r>
        <w:rPr>
          <w:rFonts w:hint="eastAsia"/>
          <w:color w:val="000000"/>
        </w:rPr>
        <w:t>（五）分类施策、综合配套。根据自然资源禀赋、作物种植种类、农业生产特征及生产主要障碍因素，因地制宜确定建设重点与建设内容，统筹推进“田、土、水、路、林”综合治理，完善农田基础设施建设，满足现代农业发展需要。</w:t>
      </w:r>
    </w:p>
    <w:p>
      <w:pPr>
        <w:ind w:firstLine="480"/>
        <w:rPr>
          <w:rFonts w:hint="eastAsia"/>
          <w:color w:val="000000"/>
        </w:rPr>
      </w:pPr>
      <w:r>
        <w:rPr>
          <w:rFonts w:hint="eastAsia"/>
          <w:color w:val="000000"/>
        </w:rPr>
        <w:t>（六）建管并重、良性运行。加强高标准农田建设和利用评价，确保建设成效。完善管护机制，落实管护主体和管护经费，确保工程长久发挥效益。完善耕地质量监测网络，强化长期跟踪监测。</w:t>
      </w:r>
    </w:p>
    <w:p>
      <w:pPr>
        <w:ind w:firstLine="480"/>
        <w:rPr>
          <w:rFonts w:hint="eastAsia"/>
          <w:color w:val="000000"/>
        </w:rPr>
      </w:pPr>
      <w:r>
        <w:rPr>
          <w:rFonts w:hint="eastAsia"/>
          <w:color w:val="000000"/>
        </w:rPr>
        <w:t>（七）依法严管、良田粮用。全面上图入库，强化用途管控，遏制“非农化”、防止“非粮化”。完善粮食主产区利益补偿机制和种粮激励政策，引导高标准农田集中用于重要农产品特别是粮食生产。</w:t>
      </w:r>
    </w:p>
    <w:p>
      <w:pPr>
        <w:pStyle w:val="3"/>
        <w:rPr>
          <w:color w:val="000000"/>
        </w:rPr>
      </w:pPr>
      <w:bookmarkStart w:id="26" w:name="_Toc97667837"/>
      <w:bookmarkStart w:id="27" w:name="_Toc119750183"/>
      <w:r>
        <w:rPr>
          <w:color w:val="000000"/>
        </w:rPr>
        <w:t>3.3建设目标</w:t>
      </w:r>
      <w:bookmarkEnd w:id="26"/>
      <w:bookmarkEnd w:id="27"/>
      <w:r>
        <w:rPr>
          <w:color w:val="000000"/>
        </w:rPr>
        <w:tab/>
      </w:r>
    </w:p>
    <w:p>
      <w:pPr>
        <w:ind w:firstLine="480"/>
        <w:rPr>
          <w:color w:val="000000"/>
        </w:rPr>
      </w:pPr>
      <w:r>
        <w:rPr>
          <w:rFonts w:hint="eastAsia"/>
          <w:color w:val="000000"/>
        </w:rPr>
        <w:t>规划期内，紧紧围绕提升粮食产能，坚持新增建设与改造提升相结合，加快建设步伐，优先安排在大中型灌区范围内实施，集中力量打造集中连片、旱涝保收、节水高效、高产稳产、生态友好的高标准农田，筑牢国家粮食安全保障基础。</w:t>
      </w:r>
      <w:r>
        <w:rPr>
          <w:color w:val="000000"/>
        </w:rPr>
        <w:t>到2025年建成219.81</w:t>
      </w:r>
      <w:r>
        <w:rPr>
          <w:rFonts w:hint="eastAsia"/>
          <w:color w:val="000000"/>
        </w:rPr>
        <w:t>万</w:t>
      </w:r>
      <w:r>
        <w:rPr>
          <w:color w:val="000000"/>
        </w:rPr>
        <w:t>亩高标准农田，改造提升12.00</w:t>
      </w:r>
      <w:r>
        <w:rPr>
          <w:rFonts w:hint="eastAsia"/>
          <w:color w:val="000000"/>
        </w:rPr>
        <w:t>万</w:t>
      </w:r>
      <w:r>
        <w:rPr>
          <w:color w:val="000000"/>
        </w:rPr>
        <w:t>亩高标准农田</w:t>
      </w:r>
      <w:r>
        <w:rPr>
          <w:rFonts w:hint="eastAsia"/>
          <w:color w:val="000000"/>
        </w:rPr>
        <w:t>。</w:t>
      </w:r>
      <w:r>
        <w:rPr>
          <w:color w:val="000000"/>
        </w:rPr>
        <w:t>到2030年建成256.81</w:t>
      </w:r>
      <w:r>
        <w:rPr>
          <w:rFonts w:hint="eastAsia"/>
          <w:color w:val="000000"/>
        </w:rPr>
        <w:t>万</w:t>
      </w:r>
      <w:r>
        <w:rPr>
          <w:color w:val="000000"/>
        </w:rPr>
        <w:t>亩高标准农田，改造提升42.00</w:t>
      </w:r>
      <w:r>
        <w:rPr>
          <w:rFonts w:hint="eastAsia"/>
          <w:color w:val="000000"/>
        </w:rPr>
        <w:t>万</w:t>
      </w:r>
      <w:r>
        <w:rPr>
          <w:color w:val="000000"/>
        </w:rPr>
        <w:t>亩高标准农田</w:t>
      </w:r>
      <w:r>
        <w:rPr>
          <w:rFonts w:hint="eastAsia"/>
          <w:color w:val="000000"/>
        </w:rPr>
        <w:t>。把高效节水灌溉与高标准农田建设统筹规划、同步实施，规划期内完成</w:t>
      </w:r>
      <w:r>
        <w:rPr>
          <w:color w:val="000000"/>
        </w:rPr>
        <w:t>37.5</w:t>
      </w:r>
      <w:r>
        <w:rPr>
          <w:rFonts w:hint="eastAsia"/>
          <w:color w:val="000000"/>
        </w:rPr>
        <w:t>万亩新增高效节水灌溉建设任务。</w:t>
      </w:r>
      <w:r>
        <w:rPr>
          <w:color w:val="000000"/>
        </w:rPr>
        <w:t>到2035年，通过持续改造提升，</w:t>
      </w:r>
      <w:r>
        <w:rPr>
          <w:rFonts w:hint="eastAsia"/>
          <w:color w:val="000000"/>
        </w:rPr>
        <w:t>全县</w:t>
      </w:r>
      <w:r>
        <w:rPr>
          <w:color w:val="000000"/>
        </w:rPr>
        <w:t>高标准农田保有量和质量进一步提高，绿色农田、数字农田建设模式进一步普及，支撑粮食生产和重要农产品供给能力进一步提升，形成更高层次、</w:t>
      </w:r>
      <w:r>
        <w:rPr>
          <w:rFonts w:hint="eastAsia"/>
          <w:color w:val="000000"/>
        </w:rPr>
        <w:t>高</w:t>
      </w:r>
      <w:r>
        <w:rPr>
          <w:color w:val="000000"/>
        </w:rPr>
        <w:t>效率、可持续的国家粮食安全保障基</w:t>
      </w:r>
      <w:r>
        <w:rPr>
          <w:rFonts w:hint="eastAsia"/>
          <w:color w:val="000000"/>
        </w:rPr>
        <w:t>地</w:t>
      </w:r>
      <w:r>
        <w:rPr>
          <w:color w:val="000000"/>
        </w:rPr>
        <w:t>。</w:t>
      </w:r>
      <w:r>
        <w:rPr>
          <w:rFonts w:hint="eastAsia"/>
          <w:color w:val="000000"/>
        </w:rPr>
        <w:t>镇赉县高标准农田建设主要指标见表3</w:t>
      </w:r>
      <w:r>
        <w:rPr>
          <w:color w:val="000000"/>
        </w:rPr>
        <w:t>.3-1</w:t>
      </w:r>
      <w:r>
        <w:rPr>
          <w:rFonts w:hint="eastAsia"/>
          <w:color w:val="000000"/>
        </w:rPr>
        <w:t>。</w:t>
      </w:r>
    </w:p>
    <w:p>
      <w:pPr>
        <w:ind w:firstLine="0" w:firstLineChars="0"/>
        <w:rPr>
          <w:rFonts w:hint="eastAsia"/>
          <w:b/>
          <w:bCs/>
          <w:color w:val="000000"/>
        </w:rPr>
      </w:pPr>
      <w:r>
        <w:rPr>
          <w:rFonts w:hint="eastAsia"/>
          <w:b/>
          <w:bCs/>
          <w:color w:val="000000"/>
        </w:rPr>
        <w:t>表</w:t>
      </w:r>
      <w:r>
        <w:rPr>
          <w:b/>
          <w:bCs/>
          <w:color w:val="000000"/>
        </w:rPr>
        <w:t xml:space="preserve">3.3-1              </w:t>
      </w:r>
      <w:r>
        <w:rPr>
          <w:rFonts w:hint="eastAsia"/>
          <w:b/>
          <w:bCs/>
          <w:color w:val="000000"/>
        </w:rPr>
        <w:t>镇赉县高标准农田建设主要指标表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648"/>
        <w:gridCol w:w="2436"/>
        <w:gridCol w:w="4961"/>
        <w:gridCol w:w="9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10" w:hRule="atLeast"/>
          <w:tblHeader/>
          <w:jc w:val="center"/>
        </w:trPr>
        <w:tc>
          <w:tcPr>
            <w:tcW w:w="360" w:type="pct"/>
            <w:shd w:val="clear" w:color="auto" w:fill="FFFFFF"/>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序号</w:t>
            </w:r>
          </w:p>
        </w:tc>
        <w:tc>
          <w:tcPr>
            <w:tcW w:w="1353" w:type="pct"/>
            <w:shd w:val="clear" w:color="auto" w:fill="FFFFFF"/>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指标</w:t>
            </w:r>
          </w:p>
        </w:tc>
        <w:tc>
          <w:tcPr>
            <w:tcW w:w="2755" w:type="pct"/>
            <w:shd w:val="clear" w:color="auto" w:fill="FFFFFF"/>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目标值</w:t>
            </w:r>
          </w:p>
        </w:tc>
        <w:tc>
          <w:tcPr>
            <w:tcW w:w="532" w:type="pct"/>
            <w:shd w:val="clear" w:color="auto" w:fill="FFFFFF"/>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属性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vMerge w:val="restart"/>
            <w:shd w:val="clear" w:color="auto" w:fill="FFFFFF"/>
            <w:noWrap w:val="0"/>
            <w:vAlign w:val="center"/>
          </w:tcPr>
          <w:p>
            <w:pPr>
              <w:spacing w:line="240" w:lineRule="auto"/>
              <w:ind w:firstLine="199" w:firstLineChars="95"/>
              <w:rPr>
                <w:rFonts w:hint="eastAsia" w:ascii="宋体" w:hAnsi="宋体" w:cs="宋体"/>
                <w:snapToGrid/>
                <w:color w:val="000000"/>
                <w:sz w:val="21"/>
                <w:szCs w:val="21"/>
              </w:rPr>
            </w:pPr>
            <w:r>
              <w:rPr>
                <w:rFonts w:hint="eastAsia" w:ascii="宋体" w:hAnsi="宋体" w:cs="宋体"/>
                <w:snapToGrid/>
                <w:color w:val="000000"/>
                <w:sz w:val="21"/>
                <w:szCs w:val="21"/>
              </w:rPr>
              <w:t>1</w:t>
            </w:r>
          </w:p>
        </w:tc>
        <w:tc>
          <w:tcPr>
            <w:tcW w:w="1353" w:type="pct"/>
            <w:vMerge w:val="restart"/>
            <w:shd w:val="clear" w:color="auto" w:fill="FFFFFF"/>
            <w:noWrap w:val="0"/>
            <w:vAlign w:val="center"/>
          </w:tcPr>
          <w:p>
            <w:pPr>
              <w:spacing w:line="240" w:lineRule="auto"/>
              <w:ind w:firstLine="420"/>
              <w:jc w:val="center"/>
              <w:rPr>
                <w:rFonts w:hint="eastAsia" w:ascii="宋体" w:hAnsi="宋体" w:cs="宋体"/>
                <w:snapToGrid/>
                <w:color w:val="000000"/>
                <w:sz w:val="21"/>
                <w:szCs w:val="21"/>
              </w:rPr>
            </w:pPr>
            <w:r>
              <w:rPr>
                <w:rFonts w:hint="eastAsia" w:ascii="宋体" w:hAnsi="宋体" w:cs="宋体"/>
                <w:snapToGrid/>
                <w:color w:val="000000"/>
                <w:sz w:val="21"/>
                <w:szCs w:val="21"/>
              </w:rPr>
              <w:t>高标准农田建设</w:t>
            </w:r>
          </w:p>
        </w:tc>
        <w:tc>
          <w:tcPr>
            <w:tcW w:w="2755" w:type="pct"/>
            <w:shd w:val="clear" w:color="auto" w:fill="FFFFFF"/>
            <w:noWrap w:val="0"/>
            <w:vAlign w:val="center"/>
          </w:tcPr>
          <w:p>
            <w:pPr>
              <w:widowControl/>
              <w:adjustRightInd/>
              <w:snapToGrid/>
              <w:spacing w:line="240" w:lineRule="auto"/>
              <w:ind w:firstLine="0" w:firstLineChars="0"/>
              <w:jc w:val="left"/>
              <w:rPr>
                <w:rFonts w:hint="eastAsia" w:ascii="宋体" w:hAnsi="宋体" w:cs="宋体"/>
                <w:snapToGrid/>
                <w:color w:val="000000"/>
                <w:sz w:val="21"/>
                <w:szCs w:val="21"/>
              </w:rPr>
            </w:pPr>
            <w:r>
              <w:rPr>
                <w:rFonts w:hint="eastAsia" w:ascii="宋体" w:hAnsi="宋体" w:cs="宋体"/>
                <w:snapToGrid/>
                <w:color w:val="000000"/>
                <w:sz w:val="21"/>
                <w:szCs w:val="21"/>
              </w:rPr>
              <w:t>到202</w:t>
            </w:r>
            <w:r>
              <w:rPr>
                <w:rFonts w:ascii="宋体" w:hAnsi="宋体" w:cs="宋体"/>
                <w:snapToGrid/>
                <w:color w:val="000000"/>
                <w:sz w:val="21"/>
                <w:szCs w:val="21"/>
              </w:rPr>
              <w:t>2</w:t>
            </w:r>
            <w:r>
              <w:rPr>
                <w:rFonts w:hint="eastAsia" w:ascii="宋体" w:hAnsi="宋体" w:cs="宋体"/>
                <w:snapToGrid/>
                <w:color w:val="000000"/>
                <w:sz w:val="21"/>
                <w:szCs w:val="21"/>
              </w:rPr>
              <w:t>年累计建成高标准农田</w:t>
            </w:r>
            <w:r>
              <w:rPr>
                <w:rFonts w:ascii="宋体" w:hAnsi="宋体" w:cs="宋体"/>
                <w:snapToGrid/>
                <w:color w:val="000000"/>
                <w:sz w:val="21"/>
                <w:szCs w:val="21"/>
              </w:rPr>
              <w:t>206.43</w:t>
            </w:r>
            <w:r>
              <w:rPr>
                <w:rFonts w:hint="eastAsia" w:ascii="宋体" w:hAnsi="宋体" w:cs="宋体"/>
                <w:snapToGrid/>
                <w:color w:val="000000"/>
                <w:sz w:val="21"/>
                <w:szCs w:val="21"/>
              </w:rPr>
              <w:t>万亩</w:t>
            </w:r>
          </w:p>
        </w:tc>
        <w:tc>
          <w:tcPr>
            <w:tcW w:w="532" w:type="pct"/>
            <w:vMerge w:val="restart"/>
            <w:shd w:val="clear" w:color="auto" w:fill="FFFFFF"/>
            <w:noWrap w:val="0"/>
            <w:vAlign w:val="center"/>
          </w:tcPr>
          <w:p>
            <w:pPr>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353"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2755" w:type="pct"/>
            <w:shd w:val="clear" w:color="auto" w:fill="FFFFFF"/>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r>
              <w:rPr>
                <w:rFonts w:hint="eastAsia" w:ascii="宋体" w:hAnsi="宋体" w:cs="宋体"/>
                <w:snapToGrid/>
                <w:color w:val="000000"/>
                <w:sz w:val="21"/>
                <w:szCs w:val="21"/>
              </w:rPr>
              <w:t>到2025年累计建成高标准农田</w:t>
            </w:r>
            <w:r>
              <w:rPr>
                <w:rFonts w:ascii="宋体" w:hAnsi="宋体" w:cs="宋体"/>
                <w:snapToGrid/>
                <w:color w:val="000000"/>
                <w:sz w:val="21"/>
                <w:szCs w:val="21"/>
              </w:rPr>
              <w:t>219.81</w:t>
            </w:r>
            <w:r>
              <w:rPr>
                <w:rFonts w:hint="eastAsia" w:ascii="宋体" w:hAnsi="宋体" w:cs="宋体"/>
                <w:snapToGrid/>
                <w:color w:val="000000"/>
                <w:sz w:val="21"/>
                <w:szCs w:val="21"/>
              </w:rPr>
              <w:t>万亩</w:t>
            </w:r>
          </w:p>
        </w:tc>
        <w:tc>
          <w:tcPr>
            <w:tcW w:w="532"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vMerge w:val="continue"/>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353"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2755" w:type="pct"/>
            <w:shd w:val="clear" w:color="auto" w:fill="FFFFFF"/>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r>
              <w:rPr>
                <w:rFonts w:hint="eastAsia" w:ascii="宋体" w:hAnsi="宋体" w:cs="宋体"/>
                <w:snapToGrid/>
                <w:color w:val="000000"/>
                <w:sz w:val="21"/>
                <w:szCs w:val="21"/>
              </w:rPr>
              <w:t>到2025年累计改造提升高标准农田</w:t>
            </w:r>
            <w:r>
              <w:rPr>
                <w:rFonts w:ascii="宋体" w:hAnsi="宋体" w:cs="宋体"/>
                <w:snapToGrid/>
                <w:color w:val="000000"/>
                <w:sz w:val="21"/>
                <w:szCs w:val="21"/>
              </w:rPr>
              <w:t>12</w:t>
            </w:r>
            <w:r>
              <w:rPr>
                <w:rFonts w:hint="eastAsia" w:ascii="宋体" w:hAnsi="宋体" w:cs="宋体"/>
                <w:snapToGrid/>
                <w:color w:val="000000"/>
                <w:sz w:val="21"/>
                <w:szCs w:val="21"/>
              </w:rPr>
              <w:t>万亩</w:t>
            </w:r>
          </w:p>
        </w:tc>
        <w:tc>
          <w:tcPr>
            <w:tcW w:w="532"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vMerge w:val="continue"/>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353"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2755" w:type="pct"/>
            <w:shd w:val="clear" w:color="auto" w:fill="FFFFFF"/>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r>
              <w:rPr>
                <w:rFonts w:hint="eastAsia" w:ascii="宋体" w:hAnsi="宋体" w:cs="宋体"/>
                <w:snapToGrid/>
                <w:color w:val="000000"/>
                <w:sz w:val="21"/>
                <w:szCs w:val="21"/>
              </w:rPr>
              <w:t>到20</w:t>
            </w:r>
            <w:r>
              <w:rPr>
                <w:rFonts w:ascii="宋体" w:hAnsi="宋体" w:cs="宋体"/>
                <w:snapToGrid/>
                <w:color w:val="000000"/>
                <w:sz w:val="21"/>
                <w:szCs w:val="21"/>
              </w:rPr>
              <w:t>30</w:t>
            </w:r>
            <w:r>
              <w:rPr>
                <w:rFonts w:hint="eastAsia" w:ascii="宋体" w:hAnsi="宋体" w:cs="宋体"/>
                <w:snapToGrid/>
                <w:color w:val="000000"/>
                <w:sz w:val="21"/>
                <w:szCs w:val="21"/>
              </w:rPr>
              <w:t>年累计建成高标准农田</w:t>
            </w:r>
            <w:r>
              <w:rPr>
                <w:rFonts w:ascii="宋体" w:hAnsi="宋体" w:cs="宋体"/>
                <w:snapToGrid/>
                <w:color w:val="000000"/>
                <w:sz w:val="21"/>
                <w:szCs w:val="21"/>
              </w:rPr>
              <w:t>256.81</w:t>
            </w:r>
            <w:r>
              <w:rPr>
                <w:rFonts w:hint="eastAsia" w:ascii="宋体" w:hAnsi="宋体" w:cs="宋体"/>
                <w:snapToGrid/>
                <w:color w:val="000000"/>
                <w:sz w:val="21"/>
                <w:szCs w:val="21"/>
              </w:rPr>
              <w:t>万亩</w:t>
            </w:r>
          </w:p>
        </w:tc>
        <w:tc>
          <w:tcPr>
            <w:tcW w:w="532"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vMerge w:val="continue"/>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353"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2755" w:type="pct"/>
            <w:shd w:val="clear" w:color="auto" w:fill="FFFFFF"/>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r>
              <w:rPr>
                <w:rFonts w:hint="eastAsia" w:ascii="宋体" w:hAnsi="宋体" w:cs="宋体"/>
                <w:snapToGrid/>
                <w:color w:val="000000"/>
                <w:sz w:val="21"/>
                <w:szCs w:val="21"/>
              </w:rPr>
              <w:t>到20</w:t>
            </w:r>
            <w:r>
              <w:rPr>
                <w:rFonts w:ascii="宋体" w:hAnsi="宋体" w:cs="宋体"/>
                <w:snapToGrid/>
                <w:color w:val="000000"/>
                <w:sz w:val="21"/>
                <w:szCs w:val="21"/>
              </w:rPr>
              <w:t>30</w:t>
            </w:r>
            <w:r>
              <w:rPr>
                <w:rFonts w:hint="eastAsia" w:ascii="宋体" w:hAnsi="宋体" w:cs="宋体"/>
                <w:snapToGrid/>
                <w:color w:val="000000"/>
                <w:sz w:val="21"/>
                <w:szCs w:val="21"/>
              </w:rPr>
              <w:t>年累计改造提升高标准农田</w:t>
            </w:r>
            <w:r>
              <w:rPr>
                <w:rFonts w:ascii="宋体" w:hAnsi="宋体" w:cs="宋体"/>
                <w:snapToGrid/>
                <w:color w:val="000000"/>
                <w:sz w:val="21"/>
                <w:szCs w:val="21"/>
              </w:rPr>
              <w:t>42</w:t>
            </w:r>
            <w:r>
              <w:rPr>
                <w:rFonts w:hint="eastAsia" w:ascii="宋体" w:hAnsi="宋体" w:cs="宋体"/>
                <w:snapToGrid/>
                <w:color w:val="000000"/>
                <w:sz w:val="21"/>
                <w:szCs w:val="21"/>
              </w:rPr>
              <w:t>万亩</w:t>
            </w:r>
          </w:p>
        </w:tc>
        <w:tc>
          <w:tcPr>
            <w:tcW w:w="532"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vMerge w:val="restar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w:t>
            </w:r>
          </w:p>
        </w:tc>
        <w:tc>
          <w:tcPr>
            <w:tcW w:w="1353" w:type="pct"/>
            <w:vMerge w:val="restar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高效节水灌溉建设</w:t>
            </w:r>
          </w:p>
        </w:tc>
        <w:tc>
          <w:tcPr>
            <w:tcW w:w="2755" w:type="pct"/>
            <w:shd w:val="clear" w:color="auto" w:fill="FFFFFF"/>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r>
              <w:rPr>
                <w:rFonts w:hint="eastAsia" w:ascii="宋体" w:hAnsi="宋体" w:cs="宋体"/>
                <w:snapToGrid/>
                <w:color w:val="000000"/>
                <w:sz w:val="21"/>
                <w:szCs w:val="21"/>
              </w:rPr>
              <w:t>2021—2025年新增高效节水灌溉面积13</w:t>
            </w:r>
            <w:r>
              <w:rPr>
                <w:rFonts w:ascii="宋体" w:hAnsi="宋体" w:cs="宋体"/>
                <w:snapToGrid/>
                <w:color w:val="000000"/>
                <w:sz w:val="21"/>
                <w:szCs w:val="21"/>
              </w:rPr>
              <w:t>.5</w:t>
            </w:r>
            <w:r>
              <w:rPr>
                <w:rFonts w:hint="eastAsia" w:ascii="宋体" w:hAnsi="宋体" w:cs="宋体"/>
                <w:snapToGrid/>
                <w:color w:val="000000"/>
                <w:sz w:val="21"/>
                <w:szCs w:val="21"/>
              </w:rPr>
              <w:t>万亩</w:t>
            </w:r>
          </w:p>
        </w:tc>
        <w:tc>
          <w:tcPr>
            <w:tcW w:w="532" w:type="pct"/>
            <w:vMerge w:val="restar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vMerge w:val="continue"/>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353"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2755" w:type="pct"/>
            <w:shd w:val="clear" w:color="auto" w:fill="FFFFFF"/>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r>
              <w:rPr>
                <w:rFonts w:hint="eastAsia" w:ascii="宋体" w:hAnsi="宋体" w:cs="宋体"/>
                <w:snapToGrid/>
                <w:color w:val="000000"/>
                <w:sz w:val="21"/>
                <w:szCs w:val="21"/>
              </w:rPr>
              <w:t>2026—2030年新增高效节水灌溉面积</w:t>
            </w:r>
            <w:r>
              <w:rPr>
                <w:rFonts w:ascii="宋体" w:hAnsi="宋体" w:cs="宋体"/>
                <w:snapToGrid/>
                <w:color w:val="000000"/>
                <w:sz w:val="21"/>
                <w:szCs w:val="21"/>
              </w:rPr>
              <w:t>24</w:t>
            </w:r>
            <w:r>
              <w:rPr>
                <w:rFonts w:hint="eastAsia" w:ascii="宋体" w:hAnsi="宋体" w:cs="宋体"/>
                <w:snapToGrid/>
                <w:color w:val="000000"/>
                <w:sz w:val="21"/>
                <w:szCs w:val="21"/>
              </w:rPr>
              <w:t>万亩</w:t>
            </w:r>
          </w:p>
        </w:tc>
        <w:tc>
          <w:tcPr>
            <w:tcW w:w="532"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vMerge w:val="restar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3</w:t>
            </w:r>
          </w:p>
        </w:tc>
        <w:tc>
          <w:tcPr>
            <w:tcW w:w="1353" w:type="pct"/>
            <w:vMerge w:val="restar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新增粮食综合生产能力</w:t>
            </w:r>
          </w:p>
        </w:tc>
        <w:tc>
          <w:tcPr>
            <w:tcW w:w="2755" w:type="pct"/>
            <w:shd w:val="clear" w:color="auto" w:fill="FFFFFF"/>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r>
              <w:rPr>
                <w:rFonts w:hint="eastAsia" w:ascii="宋体" w:hAnsi="宋体" w:cs="宋体"/>
                <w:snapToGrid/>
                <w:color w:val="000000"/>
                <w:sz w:val="21"/>
                <w:szCs w:val="21"/>
              </w:rPr>
              <w:t>新增高标准农田亩均产能提高</w:t>
            </w:r>
            <w:r>
              <w:rPr>
                <w:rFonts w:ascii="宋体" w:hAnsi="宋体" w:cs="宋体"/>
                <w:snapToGrid/>
                <w:color w:val="000000"/>
                <w:sz w:val="21"/>
                <w:szCs w:val="21"/>
              </w:rPr>
              <w:t>5</w:t>
            </w:r>
            <w:r>
              <w:rPr>
                <w:rFonts w:hint="eastAsia" w:ascii="宋体" w:hAnsi="宋体" w:cs="宋体"/>
                <w:snapToGrid/>
                <w:color w:val="000000"/>
                <w:sz w:val="21"/>
                <w:szCs w:val="21"/>
              </w:rPr>
              <w:t>0公斤</w:t>
            </w:r>
          </w:p>
        </w:tc>
        <w:tc>
          <w:tcPr>
            <w:tcW w:w="532" w:type="pct"/>
            <w:vMerge w:val="restar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353"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2755" w:type="pct"/>
            <w:shd w:val="clear" w:color="auto" w:fill="FFFFFF"/>
            <w:noWrap w:val="0"/>
            <w:vAlign w:val="center"/>
          </w:tcPr>
          <w:p>
            <w:pPr>
              <w:widowControl/>
              <w:adjustRightInd/>
              <w:snapToGrid/>
              <w:spacing w:line="240" w:lineRule="auto"/>
              <w:ind w:firstLine="0" w:firstLineChars="0"/>
              <w:jc w:val="left"/>
              <w:rPr>
                <w:rFonts w:hint="eastAsia" w:ascii="宋体" w:hAnsi="宋体" w:cs="宋体"/>
                <w:snapToGrid/>
                <w:color w:val="000000"/>
                <w:sz w:val="21"/>
                <w:szCs w:val="21"/>
              </w:rPr>
            </w:pPr>
            <w:r>
              <w:rPr>
                <w:rFonts w:hint="eastAsia" w:ascii="宋体" w:hAnsi="宋体" w:cs="宋体"/>
                <w:snapToGrid/>
                <w:color w:val="000000"/>
                <w:sz w:val="21"/>
                <w:szCs w:val="21"/>
              </w:rPr>
              <w:t>改造提升高标准农田产能不低于当地高标准预期性</w:t>
            </w:r>
          </w:p>
          <w:p>
            <w:pPr>
              <w:widowControl/>
              <w:adjustRightInd/>
              <w:snapToGrid/>
              <w:spacing w:line="240" w:lineRule="auto"/>
              <w:ind w:firstLine="0" w:firstLineChars="0"/>
              <w:jc w:val="left"/>
              <w:rPr>
                <w:rFonts w:ascii="宋体" w:hAnsi="宋体" w:cs="宋体"/>
                <w:snapToGrid/>
                <w:color w:val="000000"/>
                <w:sz w:val="21"/>
                <w:szCs w:val="21"/>
              </w:rPr>
            </w:pPr>
            <w:r>
              <w:rPr>
                <w:rFonts w:hint="eastAsia" w:ascii="宋体" w:hAnsi="宋体" w:cs="宋体"/>
                <w:snapToGrid/>
                <w:color w:val="000000"/>
                <w:sz w:val="21"/>
                <w:szCs w:val="21"/>
              </w:rPr>
              <w:t>农田产能的平均水平</w:t>
            </w:r>
          </w:p>
        </w:tc>
        <w:tc>
          <w:tcPr>
            <w:tcW w:w="532" w:type="pct"/>
            <w:vMerge w:val="continue"/>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4</w:t>
            </w:r>
          </w:p>
        </w:tc>
        <w:tc>
          <w:tcPr>
            <w:tcW w:w="1353" w:type="pc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新增建设高标准农田亩均节水率</w:t>
            </w:r>
          </w:p>
        </w:tc>
        <w:tc>
          <w:tcPr>
            <w:tcW w:w="2755" w:type="pct"/>
            <w:shd w:val="clear" w:color="auto" w:fill="FFFFFF"/>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r>
              <w:rPr>
                <w:rFonts w:ascii="宋体" w:hAnsi="宋体" w:cs="宋体"/>
                <w:snapToGrid/>
                <w:color w:val="000000"/>
                <w:sz w:val="21"/>
                <w:szCs w:val="21"/>
              </w:rPr>
              <w:t>10</w:t>
            </w:r>
            <w:r>
              <w:rPr>
                <w:rFonts w:hint="eastAsia" w:ascii="宋体" w:hAnsi="宋体" w:cs="宋体"/>
                <w:snapToGrid/>
                <w:color w:val="000000"/>
                <w:sz w:val="21"/>
                <w:szCs w:val="21"/>
              </w:rPr>
              <w:t>%以上</w:t>
            </w:r>
          </w:p>
        </w:tc>
        <w:tc>
          <w:tcPr>
            <w:tcW w:w="532" w:type="pc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60" w:type="pc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5</w:t>
            </w:r>
          </w:p>
        </w:tc>
        <w:tc>
          <w:tcPr>
            <w:tcW w:w="1353" w:type="pct"/>
            <w:shd w:val="clear" w:color="auto" w:fill="FFFFFF"/>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建成高标准农田上</w:t>
            </w:r>
          </w:p>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图入库覆盖率</w:t>
            </w:r>
          </w:p>
        </w:tc>
        <w:tc>
          <w:tcPr>
            <w:tcW w:w="2755" w:type="pct"/>
            <w:shd w:val="clear" w:color="auto" w:fill="FFFFFF"/>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r>
              <w:rPr>
                <w:rFonts w:hint="eastAsia" w:ascii="宋体" w:hAnsi="宋体" w:cs="宋体"/>
                <w:snapToGrid/>
                <w:color w:val="000000"/>
                <w:sz w:val="21"/>
                <w:szCs w:val="21"/>
              </w:rPr>
              <w:t>1</w:t>
            </w:r>
            <w:r>
              <w:rPr>
                <w:rFonts w:ascii="宋体" w:hAnsi="宋体" w:cs="宋体"/>
                <w:snapToGrid/>
                <w:color w:val="000000"/>
                <w:sz w:val="21"/>
                <w:szCs w:val="21"/>
              </w:rPr>
              <w:t>00</w:t>
            </w:r>
            <w:r>
              <w:rPr>
                <w:rFonts w:hint="eastAsia" w:ascii="宋体" w:hAnsi="宋体" w:cs="宋体"/>
                <w:snapToGrid/>
                <w:color w:val="000000"/>
                <w:sz w:val="21"/>
                <w:szCs w:val="21"/>
              </w:rPr>
              <w:t>%</w:t>
            </w:r>
          </w:p>
        </w:tc>
        <w:tc>
          <w:tcPr>
            <w:tcW w:w="532" w:type="pct"/>
            <w:shd w:val="clear" w:color="auto" w:fill="FFFFFF"/>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预期性</w:t>
            </w:r>
          </w:p>
        </w:tc>
      </w:tr>
    </w:tbl>
    <w:p>
      <w:pPr>
        <w:ind w:firstLine="480"/>
        <w:rPr>
          <w:rFonts w:hint="eastAsia"/>
          <w:color w:val="000000"/>
        </w:rPr>
      </w:pPr>
      <w:r>
        <w:rPr>
          <w:rFonts w:hint="eastAsia"/>
          <w:color w:val="000000"/>
        </w:rPr>
        <w:t>高标准农田建设主要涉及“田、土、水、路、林、电、技、管”8个方面目标。</w:t>
      </w:r>
    </w:p>
    <w:p>
      <w:pPr>
        <w:ind w:firstLine="480"/>
        <w:rPr>
          <w:rFonts w:hint="eastAsia"/>
          <w:color w:val="000000"/>
        </w:rPr>
      </w:pPr>
      <w:r>
        <w:rPr>
          <w:rFonts w:hint="eastAsia"/>
          <w:color w:val="000000"/>
        </w:rPr>
        <w:t>（一）田。通过平整土地实现田面平整、耕作层厚度适宜；合理归并田块，坡耕地田坎修筑实现田块集中连片、规模适度，提高山地丘陵区梯田化率。</w:t>
      </w:r>
    </w:p>
    <w:p>
      <w:pPr>
        <w:ind w:firstLine="480"/>
        <w:rPr>
          <w:rFonts w:hint="eastAsia"/>
          <w:color w:val="000000"/>
        </w:rPr>
      </w:pPr>
      <w:r>
        <w:rPr>
          <w:rFonts w:hint="eastAsia"/>
          <w:color w:val="000000"/>
        </w:rPr>
        <w:t>（二）土。通过培肥改良，保护性耕作，提升土壤通透性能和保水保肥能力，改善土壤酸碱化程度，提高土壤有机质和营养元素丰富，着力提高耕地，尤其是黑土地的内在质量和产出能力。</w:t>
      </w:r>
    </w:p>
    <w:p>
      <w:pPr>
        <w:ind w:firstLine="480"/>
        <w:rPr>
          <w:rFonts w:hint="eastAsia"/>
          <w:color w:val="000000"/>
        </w:rPr>
      </w:pPr>
      <w:r>
        <w:rPr>
          <w:rFonts w:hint="eastAsia"/>
          <w:color w:val="000000"/>
        </w:rPr>
        <w:t>（三）水。通过完善田间灌排设施建设，推进高效节水灌溉，增加有效灌溉面积，提高灌溉保证率、用水效率和农田防洪排涝标准，实现“旱能灌、涝能排”。</w:t>
      </w:r>
    </w:p>
    <w:p>
      <w:pPr>
        <w:ind w:firstLine="480"/>
        <w:rPr>
          <w:rFonts w:hint="eastAsia"/>
          <w:color w:val="000000"/>
        </w:rPr>
      </w:pPr>
      <w:r>
        <w:rPr>
          <w:rFonts w:hint="eastAsia"/>
          <w:color w:val="000000"/>
        </w:rPr>
        <w:t>（四）路。通过田间道（机耕路）和生产路建设、桥涵配套，合理增加路面宽度，提高道路的荷载标准和通达度，满足农机生产作业要求。</w:t>
      </w:r>
    </w:p>
    <w:p>
      <w:pPr>
        <w:ind w:firstLine="480"/>
        <w:rPr>
          <w:rFonts w:hint="eastAsia"/>
          <w:color w:val="000000"/>
        </w:rPr>
      </w:pPr>
      <w:r>
        <w:rPr>
          <w:rFonts w:hint="eastAsia"/>
          <w:color w:val="000000"/>
        </w:rPr>
        <w:t>（五）林。通过农田林网、岸坡防护、沟道治理等农田防护和生态环境保护工程建设，改善农田生态环境，提高农田防风固沙和水土保持能力。</w:t>
      </w:r>
    </w:p>
    <w:p>
      <w:pPr>
        <w:ind w:firstLine="480"/>
        <w:rPr>
          <w:rFonts w:hint="eastAsia"/>
          <w:color w:val="000000"/>
        </w:rPr>
      </w:pPr>
      <w:r>
        <w:rPr>
          <w:rFonts w:hint="eastAsia"/>
          <w:color w:val="000000"/>
        </w:rPr>
        <w:t>（六）电。通过完善农田电网配套输配电设施建设，以满足农田设施用电需求，降低农业生产成本，提高农业生产的效率和效益。</w:t>
      </w:r>
    </w:p>
    <w:p>
      <w:pPr>
        <w:ind w:firstLine="480"/>
        <w:rPr>
          <w:rFonts w:hint="eastAsia"/>
          <w:color w:val="000000"/>
        </w:rPr>
      </w:pPr>
      <w:r>
        <w:rPr>
          <w:rFonts w:hint="eastAsia"/>
          <w:color w:val="000000"/>
        </w:rPr>
        <w:t>（七）技。通过工程措施与农艺技术相结合，发展数字农业和绿色农业，推广良种良法、绿色防控病虫害、节水节肥减药等技术，提高农田综合生产能力，保证农田可持续利用。</w:t>
      </w:r>
    </w:p>
    <w:p>
      <w:pPr>
        <w:ind w:firstLine="480"/>
        <w:rPr>
          <w:color w:val="000000"/>
        </w:rPr>
      </w:pPr>
      <w:r>
        <w:rPr>
          <w:rFonts w:hint="eastAsia"/>
          <w:color w:val="000000"/>
        </w:rPr>
        <w:t>（八）管。通过对项目进行全要素和全过程管理，各阶段成果统一上图入库。严格把控建设工程质量关，落实建后管护主体，压实管护责任，筹集管护资金，完善管护机制，确保建成的工程设施在设计使用年限内正常运行、高标准农田用途不改变。</w:t>
      </w:r>
    </w:p>
    <w:p>
      <w:pPr>
        <w:pStyle w:val="2"/>
        <w:rPr>
          <w:color w:val="000000"/>
        </w:rPr>
      </w:pPr>
      <w:bookmarkStart w:id="28" w:name="_Toc119750184"/>
      <w:bookmarkStart w:id="29" w:name="_Toc97667843"/>
      <w:r>
        <w:rPr>
          <w:color w:val="000000"/>
        </w:rPr>
        <w:t>4建设内容</w:t>
      </w:r>
      <w:r>
        <w:rPr>
          <w:rFonts w:hint="eastAsia"/>
          <w:color w:val="000000"/>
        </w:rPr>
        <w:t>和建设</w:t>
      </w:r>
      <w:r>
        <w:rPr>
          <w:color w:val="000000"/>
        </w:rPr>
        <w:t>标准</w:t>
      </w:r>
      <w:bookmarkEnd w:id="28"/>
      <w:bookmarkEnd w:id="29"/>
    </w:p>
    <w:p>
      <w:pPr>
        <w:ind w:firstLine="480"/>
        <w:rPr>
          <w:color w:val="000000"/>
        </w:rPr>
      </w:pPr>
      <w:r>
        <w:rPr>
          <w:rFonts w:hint="eastAsia"/>
          <w:color w:val="000000"/>
        </w:rPr>
        <w:t>《全国高标准农田建设规划（2</w:t>
      </w:r>
      <w:r>
        <w:rPr>
          <w:color w:val="000000"/>
        </w:rPr>
        <w:t>021</w:t>
      </w:r>
      <w:r>
        <w:rPr>
          <w:rFonts w:hint="eastAsia"/>
          <w:color w:val="000000"/>
        </w:rPr>
        <w:t>年-</w:t>
      </w:r>
      <w:r>
        <w:rPr>
          <w:color w:val="000000"/>
        </w:rPr>
        <w:t>2030</w:t>
      </w:r>
      <w:r>
        <w:rPr>
          <w:rFonts w:hint="eastAsia"/>
          <w:color w:val="000000"/>
        </w:rPr>
        <w:t>年）》中指出：</w:t>
      </w:r>
      <w:r>
        <w:rPr>
          <w:color w:val="000000"/>
        </w:rPr>
        <w:t>综合考虑建设成本、物价波动、政府投入能力和多元筹资渠道等因素，全国高标准农田建设亩均投资一般应逐步达到3000元左右。各地可结合本地经济水平、政府投入和融资能力等条件，因地制宜合理确定本地区不同区域、不同类型高标准农田的亩均投资水平，支持有条件的地区适度提高亩均投资标准。鼓励各地创新投资模式，合理提高社会投资占比。</w:t>
      </w:r>
      <w:r>
        <w:rPr>
          <w:rFonts w:hint="eastAsia"/>
          <w:color w:val="000000"/>
        </w:rPr>
        <w:t>根据文件指示，镇赉县将按照高标准农田建设实际需要和全国规划要求，逐步提高建设标准，丰富建设内容，在2</w:t>
      </w:r>
      <w:r>
        <w:rPr>
          <w:color w:val="000000"/>
        </w:rPr>
        <w:t>022</w:t>
      </w:r>
      <w:r>
        <w:rPr>
          <w:rFonts w:hint="eastAsia"/>
          <w:color w:val="000000"/>
        </w:rPr>
        <w:t>年前将建设标准提高至3</w:t>
      </w:r>
      <w:r>
        <w:rPr>
          <w:color w:val="000000"/>
        </w:rPr>
        <w:t>000</w:t>
      </w:r>
      <w:r>
        <w:rPr>
          <w:rFonts w:hint="eastAsia"/>
          <w:color w:val="000000"/>
        </w:rPr>
        <w:t>元/亩。</w:t>
      </w:r>
    </w:p>
    <w:p>
      <w:pPr>
        <w:ind w:firstLine="480"/>
        <w:rPr>
          <w:color w:val="000000"/>
        </w:rPr>
      </w:pPr>
      <w:r>
        <w:rPr>
          <w:rFonts w:hint="eastAsia"/>
          <w:color w:val="000000"/>
        </w:rPr>
        <w:t>遵循吉林省乡村振兴战略部署要求，统筹考虑高标准农田建设的农业、水利、土地、林业、电力、气象等各方面因素，围绕农田生产能力、灌排能力、田间道路通行运输能力、农田防护与生态环境保护能力、机械化水平、科技应用水平、建后管护能力等建设内容，结合国土空间、农业农村现代化发展、水资源利用等规划，紧扣高标准农田建设的“田、土、水、路、林、电、技、管”8个方面要求，加快构建科学统一、层次分明、结构合理的高标准农田建设标准体系。以提升镇赉县粮食产能为首要目标，兼顾大豆、薯类等重要农产品生产，坚持数量、质量、生态相统一，探索适合镇赉县县情的高标准农田建设标准。根据镇赉县自然资源特点、社会经济发展水平、土地利用现状，制定分区域、分类型高标准农田建设标准，健全耕地质量监测评价标准。综合考虑农业农村发展要求、市场价格变化等因素，适时调整建设内容和投资标准。</w:t>
      </w:r>
    </w:p>
    <w:p>
      <w:pPr>
        <w:pStyle w:val="3"/>
        <w:rPr>
          <w:color w:val="000000"/>
        </w:rPr>
      </w:pPr>
      <w:bookmarkStart w:id="30" w:name="_Toc119750185"/>
      <w:r>
        <w:rPr>
          <w:color w:val="000000"/>
        </w:rPr>
        <w:t>4.1</w:t>
      </w:r>
      <w:r>
        <w:rPr>
          <w:rFonts w:hint="eastAsia"/>
          <w:color w:val="000000"/>
        </w:rPr>
        <w:t>田块整治</w:t>
      </w:r>
      <w:bookmarkEnd w:id="30"/>
    </w:p>
    <w:p>
      <w:pPr>
        <w:ind w:firstLine="480"/>
        <w:rPr>
          <w:color w:val="000000"/>
        </w:rPr>
      </w:pPr>
      <w:r>
        <w:rPr>
          <w:rFonts w:hint="eastAsia"/>
          <w:color w:val="000000"/>
        </w:rPr>
        <w:t>本次规划的项目区内无完善的田间灌排系统，田块分布较为复杂，田块尺寸大小不一，局部地区地势低洼，汛期排水困难，导致减产严重，现状无法满足高标准农田示范区要求。</w:t>
      </w:r>
    </w:p>
    <w:p>
      <w:pPr>
        <w:ind w:firstLine="480"/>
        <w:rPr>
          <w:color w:val="000000"/>
        </w:rPr>
      </w:pPr>
      <w:r>
        <w:rPr>
          <w:rFonts w:hint="eastAsia"/>
          <w:color w:val="000000"/>
        </w:rPr>
        <w:t>本次规划充分考虑水土光热资源环境条件等因素，进一步优化高标准农田空间布局。根据不同区域地形地貌、作物种类、机械作业和灌溉排水效率等因素，合理划分和适度归并田块，确定田块的适宜耕作长度与宽度。通过客土填充、剥离回填表土层等措施平整土地，合理调整农田地表坡降，改善农田耕作层，提高灌溉排水适宜性。</w:t>
      </w:r>
    </w:p>
    <w:p>
      <w:pPr>
        <w:ind w:firstLine="480"/>
        <w:rPr>
          <w:rFonts w:hint="eastAsia"/>
          <w:color w:val="000000"/>
        </w:rPr>
      </w:pPr>
      <w:r>
        <w:rPr>
          <w:rFonts w:hint="eastAsia"/>
          <w:color w:val="000000"/>
        </w:rPr>
        <w:t>建成后，平原区水浇地和旱地耕作层厚度不低于30厘米，水田耕作层厚度不低于25厘米。</w:t>
      </w:r>
    </w:p>
    <w:p>
      <w:pPr>
        <w:pStyle w:val="3"/>
        <w:rPr>
          <w:color w:val="000000"/>
        </w:rPr>
      </w:pPr>
      <w:bookmarkStart w:id="31" w:name="_Toc119750186"/>
      <w:bookmarkStart w:id="32" w:name="_Toc97667851"/>
      <w:r>
        <w:rPr>
          <w:color w:val="000000"/>
        </w:rPr>
        <w:t>4.2土壤改良</w:t>
      </w:r>
      <w:bookmarkEnd w:id="31"/>
      <w:bookmarkEnd w:id="32"/>
    </w:p>
    <w:p>
      <w:pPr>
        <w:ind w:firstLine="480"/>
        <w:rPr>
          <w:color w:val="000000"/>
        </w:rPr>
      </w:pPr>
      <w:r>
        <w:rPr>
          <w:rFonts w:hint="eastAsia"/>
          <w:color w:val="000000"/>
        </w:rPr>
        <w:t>通过工程、生物、化学等方法，治理过沙土壤和盐碱土壤，提高耕地质量水平。采取深耕深松、秸秆还田、增施有机肥、种植绿肥等方式，增加土壤有机质，治理退化耕地，改良土壤结构，提升土壤肥力。根据吉林省不同区域条件，推广合理轮作、间作，改善土壤生态环境。实施测土配方施肥，促进土壤养分平衡。建成后，土壤有机质含量提高1g/kg以上、耕地质量等级提高0.</w:t>
      </w:r>
      <w:r>
        <w:rPr>
          <w:color w:val="000000"/>
        </w:rPr>
        <w:t>1</w:t>
      </w:r>
      <w:r>
        <w:rPr>
          <w:rFonts w:hint="eastAsia"/>
          <w:color w:val="000000"/>
        </w:rPr>
        <w:t>等以上，土壤的容重、阳离子交换量、有效磷、速效钾、微生物碳量等其他物理、化学、生物指标达到当地自然条件和种植水平下的中上等水平。盐碱土采取工程排盐、增施土壤调理剂和有机肥等措施使改良后的盐碱土盐分含量低于0.3%，土壤的pH达到8.5一下至中性，满足农业种植要求，提升耕地基础地力。</w:t>
      </w:r>
    </w:p>
    <w:p>
      <w:pPr>
        <w:ind w:firstLine="480"/>
        <w:rPr>
          <w:color w:val="000000"/>
        </w:rPr>
      </w:pPr>
      <w:r>
        <w:rPr>
          <w:rFonts w:hint="eastAsia"/>
          <w:color w:val="000000"/>
        </w:rPr>
        <w:t>本次规划以深耕起垄加施生物有机肥为主要措施对项目区部分旱田进行土壤改良，其目的是解决项目区原本肥沃的土壤变“瘦”变“薄”变“硬”等问题，综合运用多种措施，突出重点、用养结合和综合施策等措施，集中连片推广基本农田保护利用综合治理技术模式，持续改善耕地质量，防止耕地退化。</w:t>
      </w:r>
    </w:p>
    <w:p>
      <w:pPr>
        <w:pStyle w:val="4"/>
        <w:rPr>
          <w:color w:val="000000"/>
        </w:rPr>
      </w:pPr>
      <w:r>
        <w:rPr>
          <w:color w:val="000000"/>
        </w:rPr>
        <w:t>4.2.1</w:t>
      </w:r>
      <w:r>
        <w:rPr>
          <w:rFonts w:hint="eastAsia"/>
          <w:color w:val="000000"/>
        </w:rPr>
        <w:t>生物有机肥</w:t>
      </w:r>
    </w:p>
    <w:p>
      <w:pPr>
        <w:ind w:firstLine="480"/>
        <w:rPr>
          <w:color w:val="000000"/>
        </w:rPr>
      </w:pPr>
      <w:r>
        <w:rPr>
          <w:rFonts w:hint="eastAsia"/>
          <w:color w:val="000000"/>
        </w:rPr>
        <w:t>施用生物有机肥能增加土壤养分的供应量，活化土壤，平衡作物营养，增强土壤团粒结构和透气性，还能提高肥料的利用率，增强作物抗病抗逆能力，使作物根繁叶茂，生长迅速，进而提高玉米、水稻的品质和产量。可明显促进水稻的生长，增加产量和产值，特别是能提高玉米、水稻抗病、抗逆能力，能改良土壤理化性状。该技术可冬季进行实施也可在春季实施。</w:t>
      </w:r>
    </w:p>
    <w:p>
      <w:pPr>
        <w:ind w:firstLine="480"/>
        <w:rPr>
          <w:rFonts w:hint="eastAsia" w:ascii="宋体" w:hAnsi="宋体"/>
          <w:color w:val="000000"/>
          <w:szCs w:val="24"/>
        </w:rPr>
      </w:pPr>
      <w:r>
        <w:rPr>
          <w:rFonts w:hint="eastAsia" w:ascii="宋体" w:hAnsi="宋体"/>
          <w:color w:val="000000"/>
          <w:szCs w:val="24"/>
        </w:rPr>
        <w:t>1、采购</w:t>
      </w:r>
    </w:p>
    <w:p>
      <w:pPr>
        <w:ind w:firstLine="480"/>
        <w:rPr>
          <w:rFonts w:ascii="宋体" w:hAnsi="宋体" w:cs="仿宋"/>
          <w:snapToGrid/>
          <w:color w:val="000000"/>
          <w:szCs w:val="24"/>
        </w:rPr>
      </w:pPr>
      <w:r>
        <w:rPr>
          <w:rFonts w:hint="eastAsia" w:ascii="宋体" w:hAnsi="宋体" w:cs="仿宋"/>
          <w:snapToGrid/>
          <w:color w:val="000000"/>
          <w:szCs w:val="24"/>
        </w:rPr>
        <w:t>商品按照《生物有机肥执行标准（NY884-2012）》控制，从正规厂商采购具有出场合格证的袋装生物有机肥，生物有机肥中微生物菌种应安全、有效，有明确来源和种名，菌株安全性应符合NY1109的规定。</w:t>
      </w:r>
    </w:p>
    <w:p>
      <w:pPr>
        <w:ind w:firstLine="480"/>
        <w:rPr>
          <w:rFonts w:ascii="宋体" w:hAnsi="宋体" w:cs="仿宋"/>
          <w:snapToGrid/>
          <w:color w:val="000000"/>
          <w:szCs w:val="24"/>
        </w:rPr>
      </w:pPr>
      <w:r>
        <w:rPr>
          <w:rFonts w:hint="eastAsia" w:ascii="宋体" w:hAnsi="宋体" w:cs="仿宋"/>
          <w:snapToGrid/>
          <w:color w:val="000000"/>
          <w:szCs w:val="24"/>
        </w:rPr>
        <w:t>①外观</w:t>
      </w:r>
    </w:p>
    <w:p>
      <w:pPr>
        <w:ind w:firstLine="480"/>
        <w:rPr>
          <w:rFonts w:ascii="宋体" w:hAnsi="宋体" w:cs="仿宋"/>
          <w:snapToGrid/>
          <w:color w:val="000000"/>
          <w:szCs w:val="24"/>
        </w:rPr>
      </w:pPr>
      <w:r>
        <w:rPr>
          <w:rFonts w:hint="eastAsia" w:ascii="宋体" w:hAnsi="宋体" w:cs="仿宋"/>
          <w:snapToGrid/>
          <w:color w:val="000000"/>
          <w:szCs w:val="24"/>
        </w:rPr>
        <w:t>黑色或黑灰色，颗粒、条状或柱状产品，均匀，无恶臭，无肉眼可见机械杂质，产品由供需双方协议商定。</w:t>
      </w:r>
    </w:p>
    <w:p>
      <w:pPr>
        <w:ind w:firstLine="480"/>
        <w:rPr>
          <w:rFonts w:ascii="宋体" w:hAnsi="宋体" w:cs="仿宋"/>
          <w:snapToGrid/>
          <w:color w:val="000000"/>
          <w:szCs w:val="24"/>
        </w:rPr>
      </w:pPr>
      <w:r>
        <w:rPr>
          <w:rFonts w:hint="eastAsia" w:ascii="宋体" w:hAnsi="宋体" w:cs="仿宋"/>
          <w:snapToGrid/>
          <w:color w:val="000000"/>
          <w:szCs w:val="24"/>
        </w:rPr>
        <w:t>②技术指标</w:t>
      </w:r>
    </w:p>
    <w:p>
      <w:pPr>
        <w:ind w:firstLine="480"/>
        <w:rPr>
          <w:rFonts w:ascii="宋体" w:hAnsi="宋体" w:cs="仿宋"/>
          <w:snapToGrid/>
          <w:color w:val="000000"/>
          <w:szCs w:val="24"/>
        </w:rPr>
      </w:pPr>
      <w:r>
        <w:rPr>
          <w:rFonts w:hint="eastAsia" w:ascii="宋体" w:hAnsi="宋体" w:cs="仿宋"/>
          <w:snapToGrid/>
          <w:color w:val="000000"/>
          <w:szCs w:val="24"/>
        </w:rPr>
        <w:t>生物有机肥料的各项技术指标应符合下表要求：</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02"/>
        <w:gridCol w:w="45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项目</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有效活菌数（cfu），亿/g</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有机质（以干基计），%</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水分，%</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PH值</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5.5～8.5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粪大肠菌群数，个/g</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蛔虫卵死亡率，%</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总砷（As）（以干基计），mg/kg</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总镉（Cd）（以干基计），mg/kg</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总铅（pb）（以干基计），mg/kg</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总铬（Cr）（以干基计），mg/kg</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总汞（Hg）（以干基计），mg/kg</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有效期，月</w:t>
            </w:r>
          </w:p>
        </w:tc>
        <w:tc>
          <w:tcPr>
            <w:tcW w:w="2500" w:type="pct"/>
            <w:shd w:val="clear" w:color="auto" w:fill="auto"/>
            <w:noWrap w:val="0"/>
            <w:vAlign w:val="center"/>
          </w:tcPr>
          <w:p>
            <w:pPr>
              <w:pStyle w:val="14"/>
              <w:widowControl w:val="0"/>
              <w:spacing w:line="240" w:lineRule="auto"/>
              <w:ind w:firstLine="0" w:firstLineChars="0"/>
              <w:jc w:val="center"/>
              <w:rPr>
                <w:rFonts w:cs="仿宋"/>
                <w:snapToGrid/>
                <w:color w:val="000000"/>
                <w:sz w:val="21"/>
                <w:szCs w:val="21"/>
              </w:rPr>
            </w:pPr>
            <w:r>
              <w:rPr>
                <w:rFonts w:hint="eastAsia" w:cs="仿宋"/>
                <w:snapToGrid/>
                <w:color w:val="000000"/>
                <w:sz w:val="21"/>
                <w:szCs w:val="21"/>
              </w:rPr>
              <w:t>≥6</w:t>
            </w:r>
          </w:p>
        </w:tc>
      </w:tr>
    </w:tbl>
    <w:p>
      <w:pPr>
        <w:ind w:firstLine="480"/>
        <w:rPr>
          <w:color w:val="000000"/>
          <w:szCs w:val="28"/>
          <w:lang w:val="de-DE"/>
        </w:rPr>
      </w:pPr>
      <w:r>
        <w:rPr>
          <w:rFonts w:hint="eastAsia"/>
          <w:color w:val="000000"/>
          <w:szCs w:val="28"/>
          <w:lang w:val="de-DE"/>
        </w:rPr>
        <w:t>③抛洒</w:t>
      </w:r>
    </w:p>
    <w:p>
      <w:pPr>
        <w:ind w:firstLine="480"/>
        <w:rPr>
          <w:snapToGrid/>
          <w:color w:val="000000"/>
        </w:rPr>
      </w:pPr>
      <w:r>
        <w:rPr>
          <w:rFonts w:hint="eastAsia"/>
          <w:color w:val="000000"/>
          <w:lang w:val="de-DE"/>
        </w:rPr>
        <w:t>生物有机肥每亩用量按照测土配方进行测算，土地翻耕前须平铺、均匀抛洒至农田内，为保证工期，建议采用机械抛撒。</w:t>
      </w:r>
    </w:p>
    <w:p>
      <w:pPr>
        <w:pStyle w:val="4"/>
        <w:rPr>
          <w:color w:val="000000"/>
        </w:rPr>
      </w:pPr>
      <w:r>
        <w:rPr>
          <w:color w:val="000000"/>
        </w:rPr>
        <w:t>4.2.2</w:t>
      </w:r>
      <w:r>
        <w:rPr>
          <w:rFonts w:hint="eastAsia"/>
          <w:color w:val="000000"/>
        </w:rPr>
        <w:t>土地翻耕（灭茬、旋耕）</w:t>
      </w:r>
    </w:p>
    <w:p>
      <w:pPr>
        <w:ind w:firstLine="480"/>
        <w:rPr>
          <w:color w:val="000000"/>
          <w:lang w:val="de-DE"/>
        </w:rPr>
      </w:pPr>
      <w:r>
        <w:rPr>
          <w:rFonts w:hint="eastAsia"/>
          <w:color w:val="000000"/>
          <w:lang w:val="de-DE"/>
        </w:rPr>
        <w:t>生物有机肥撒施完毕后，实施灭茬旋耕技术。具体操作为：</w:t>
      </w:r>
    </w:p>
    <w:p>
      <w:pPr>
        <w:ind w:firstLine="480"/>
        <w:rPr>
          <w:color w:val="000000"/>
          <w:lang w:val="de-DE"/>
        </w:rPr>
      </w:pPr>
      <w:bookmarkStart w:id="33" w:name="_Hlk100390525"/>
      <w:r>
        <w:rPr>
          <w:rFonts w:hint="eastAsia"/>
          <w:color w:val="000000"/>
          <w:lang w:val="de-DE"/>
        </w:rPr>
        <w:t>旱田：旱田对地表部分秸秆和根茬进行粉碎，达到丝状程度，颗粒大小不能超过3-5cm，为碎末状或者丝状，能与土壤充分混合为止，然后用大马力旋耕机将秸秆与根茬均匀旋于土壤当中，深度为20厘米左右。</w:t>
      </w:r>
    </w:p>
    <w:p>
      <w:pPr>
        <w:ind w:firstLine="480"/>
        <w:rPr>
          <w:rFonts w:ascii="仿宋" w:hAnsi="仿宋" w:eastAsia="仿宋" w:cs="仿宋"/>
          <w:color w:val="000000"/>
          <w:sz w:val="30"/>
          <w:szCs w:val="30"/>
        </w:rPr>
      </w:pPr>
      <w:bookmarkStart w:id="34" w:name="_Hlk100390566"/>
      <w:r>
        <w:rPr>
          <w:rFonts w:hint="eastAsia"/>
          <w:color w:val="000000"/>
          <w:lang w:val="de-DE"/>
        </w:rPr>
        <w:t>水田：春季水田使用大型机械进行旋耕，将秸秆和根茬旋耕于土壤中，在不打破隔水层前提下，翻地深度在</w:t>
      </w:r>
      <w:r>
        <w:rPr>
          <w:color w:val="000000"/>
          <w:lang w:val="de-DE"/>
        </w:rPr>
        <w:t>1</w:t>
      </w:r>
      <w:r>
        <w:rPr>
          <w:rFonts w:hint="eastAsia"/>
          <w:color w:val="000000"/>
          <w:lang w:val="de-DE"/>
        </w:rPr>
        <w:t>5厘米左右。然后进行打浆作业，具体操作方法：在稻池里进行搅浆整地作业，停车观察搅浆整地后田面状态，如果呈现“花达水”状态，秸秆均匀搅拌在泥中，没有漂浮。这说明泡田水量合适，可以进行搅浆整地。如果是搅浆整地后田面水面成片出现，说明泡田水量过多，地块要先排除多余的水后，再进行搅浆整地。插秧后6月中下旬保证浅-湿-干，而不是传统的稳定水层，即有利于秸秆腐解，有利于充氧壮根，排出有毒气体。</w:t>
      </w:r>
    </w:p>
    <w:p>
      <w:pPr>
        <w:ind w:firstLine="480"/>
        <w:rPr>
          <w:color w:val="000000"/>
          <w:lang w:val="de-DE"/>
        </w:rPr>
      </w:pPr>
      <w:r>
        <w:rPr>
          <w:rFonts w:hint="eastAsia"/>
          <w:color w:val="000000"/>
          <w:lang w:val="de-DE"/>
        </w:rPr>
        <w:t>土壤改良应按照土地确权及当地村民各家实际掌握地块做好临时标识桩及标识线，片区划分后方可进行施肥、翻耕等措施，完工后与村民签订完工满意确认书。</w:t>
      </w:r>
      <w:bookmarkEnd w:id="34"/>
    </w:p>
    <w:bookmarkEnd w:id="33"/>
    <w:p>
      <w:pPr>
        <w:ind w:firstLine="480"/>
        <w:rPr>
          <w:color w:val="000000"/>
          <w:lang w:val="de-DE"/>
        </w:rPr>
      </w:pPr>
    </w:p>
    <w:p>
      <w:pPr>
        <w:ind w:firstLine="0" w:firstLineChars="0"/>
        <w:rPr>
          <w:color w:val="000000"/>
          <w:lang w:val="de-DE"/>
        </w:rPr>
      </w:pPr>
      <w:r>
        <w:rPr>
          <w:color w:val="000000"/>
          <w:lang w:val="de-DE"/>
        </w:rPr>
        <w:drawing>
          <wp:inline distT="0" distB="0" distL="114300" distR="114300">
            <wp:extent cx="5554980" cy="4243705"/>
            <wp:effectExtent l="0" t="0" r="7620"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rcRect t="16382" r="421"/>
                    <a:stretch>
                      <a:fillRect/>
                    </a:stretch>
                  </pic:blipFill>
                  <pic:spPr>
                    <a:xfrm>
                      <a:off x="0" y="0"/>
                      <a:ext cx="5554980" cy="4243705"/>
                    </a:xfrm>
                    <a:prstGeom prst="rect">
                      <a:avLst/>
                    </a:prstGeom>
                    <a:noFill/>
                    <a:ln>
                      <a:noFill/>
                    </a:ln>
                  </pic:spPr>
                </pic:pic>
              </a:graphicData>
            </a:graphic>
          </wp:inline>
        </w:drawing>
      </w:r>
    </w:p>
    <w:p>
      <w:pPr>
        <w:ind w:firstLine="0" w:firstLineChars="0"/>
        <w:jc w:val="center"/>
        <w:rPr>
          <w:b/>
          <w:bCs/>
          <w:color w:val="000000"/>
          <w:lang w:val="de-DE"/>
        </w:rPr>
      </w:pPr>
      <w:r>
        <w:rPr>
          <w:rFonts w:hint="eastAsia"/>
          <w:b/>
          <w:bCs/>
          <w:color w:val="000000"/>
          <w:lang w:val="de-DE"/>
        </w:rPr>
        <w:t>图</w:t>
      </w:r>
      <w:r>
        <w:rPr>
          <w:b/>
          <w:bCs/>
          <w:color w:val="000000"/>
          <w:lang w:val="de-DE"/>
        </w:rPr>
        <w:t>4.2.2</w:t>
      </w:r>
      <w:r>
        <w:rPr>
          <w:rFonts w:hint="eastAsia"/>
          <w:b/>
          <w:bCs/>
          <w:color w:val="000000"/>
          <w:lang w:val="de-DE"/>
        </w:rPr>
        <w:t>-</w:t>
      </w:r>
      <w:r>
        <w:rPr>
          <w:b/>
          <w:bCs/>
          <w:color w:val="000000"/>
          <w:lang w:val="de-DE"/>
        </w:rPr>
        <w:t>1</w:t>
      </w:r>
      <w:r>
        <w:rPr>
          <w:rFonts w:hint="eastAsia"/>
          <w:b/>
          <w:bCs/>
          <w:color w:val="000000"/>
          <w:lang w:val="de-DE"/>
        </w:rPr>
        <w:t>土壤改良前后对比效果图</w:t>
      </w:r>
    </w:p>
    <w:p>
      <w:pPr>
        <w:ind w:firstLine="0" w:firstLineChars="0"/>
        <w:jc w:val="center"/>
        <w:rPr>
          <w:b/>
          <w:bCs/>
          <w:color w:val="000000"/>
          <w:lang w:val="de-DE"/>
        </w:rPr>
      </w:pPr>
      <w:r>
        <w:rPr>
          <w:b/>
          <w:bCs/>
          <w:color w:val="000000"/>
          <w:lang w:val="de-DE"/>
        </w:rPr>
        <w:drawing>
          <wp:inline distT="0" distB="0" distL="114300" distR="114300">
            <wp:extent cx="5575935" cy="3328035"/>
            <wp:effectExtent l="0" t="0" r="5715"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tretch>
                      <a:fillRect/>
                    </a:stretch>
                  </pic:blipFill>
                  <pic:spPr>
                    <a:xfrm>
                      <a:off x="0" y="0"/>
                      <a:ext cx="5575935" cy="3328035"/>
                    </a:xfrm>
                    <a:prstGeom prst="rect">
                      <a:avLst/>
                    </a:prstGeom>
                    <a:noFill/>
                    <a:ln>
                      <a:noFill/>
                    </a:ln>
                  </pic:spPr>
                </pic:pic>
              </a:graphicData>
            </a:graphic>
          </wp:inline>
        </w:drawing>
      </w:r>
    </w:p>
    <w:p>
      <w:pPr>
        <w:ind w:firstLine="0" w:firstLineChars="0"/>
        <w:jc w:val="center"/>
        <w:rPr>
          <w:rFonts w:hint="eastAsia"/>
          <w:b/>
          <w:bCs/>
          <w:color w:val="000000"/>
          <w:lang w:val="de-DE"/>
        </w:rPr>
      </w:pPr>
      <w:r>
        <w:rPr>
          <w:rFonts w:hint="eastAsia"/>
          <w:b/>
          <w:bCs/>
          <w:color w:val="000000"/>
          <w:lang w:val="de-DE"/>
        </w:rPr>
        <w:t>图</w:t>
      </w:r>
      <w:r>
        <w:rPr>
          <w:b/>
          <w:bCs/>
          <w:color w:val="000000"/>
          <w:lang w:val="de-DE"/>
        </w:rPr>
        <w:t>4.2.2-2</w:t>
      </w:r>
      <w:r>
        <w:rPr>
          <w:rFonts w:hint="eastAsia"/>
          <w:b/>
          <w:bCs/>
          <w:color w:val="000000"/>
          <w:lang w:val="de-DE"/>
        </w:rPr>
        <w:t>土地翻耕起垄一体操作示意图</w:t>
      </w:r>
    </w:p>
    <w:p>
      <w:pPr>
        <w:pStyle w:val="3"/>
        <w:rPr>
          <w:color w:val="000000"/>
        </w:rPr>
      </w:pPr>
      <w:bookmarkStart w:id="35" w:name="_Toc119750187"/>
      <w:bookmarkStart w:id="36" w:name="_Toc97667852"/>
      <w:r>
        <w:rPr>
          <w:color w:val="000000"/>
        </w:rPr>
        <w:t>4.3灌溉和排水</w:t>
      </w:r>
      <w:bookmarkEnd w:id="35"/>
      <w:bookmarkEnd w:id="36"/>
    </w:p>
    <w:p>
      <w:pPr>
        <w:ind w:firstLine="480"/>
        <w:rPr>
          <w:color w:val="000000"/>
        </w:rPr>
      </w:pPr>
      <w:r>
        <w:rPr>
          <w:rFonts w:hint="eastAsia"/>
          <w:color w:val="000000"/>
        </w:rPr>
        <w:t>按照旱、涝、渍和盐碱综合治理的要求，科学规划建设田间灌排工程。因地制宜配套小型水源工程，加强雨水和地表水收集利用。按照灌溉与排水并重要求，合理配套建设和改造输配水渠（管）道、排水沟（管）道、泵站及渠系建筑物，完善田间灌溉排水设施。因地制宜推广渠道防渗、管道输水灌溉和喷微灌等节水措施，提高农业灌溉保证率。倡导建设生态型灌排系统，保护农田生态环境。建成后，田间灌排系统完善、工程配套、利用充分，输、配、灌、排水及时高效，灌溉水利用效率和水分产出率明显提高，旱地灌溉保证率不低于70%，水田灌溉保证率不低于75%—80%。旱作区农田排水设计暴雨重现期采用标准达到10年一遇，1d暴雨从作物受淹起2d排至田面无积水，水稻区农田排水设计暴雨重现期采用标准达到10年一遇，1d暴雨3d排至作物耐淹水深。</w:t>
      </w:r>
    </w:p>
    <w:p>
      <w:pPr>
        <w:ind w:firstLine="480"/>
        <w:rPr>
          <w:rFonts w:hint="eastAsia"/>
          <w:color w:val="000000"/>
        </w:rPr>
      </w:pPr>
      <w:r>
        <w:rPr>
          <w:rFonts w:hint="eastAsia"/>
          <w:color w:val="000000"/>
        </w:rPr>
        <w:t>灌溉和排水工程主要建设内容为渠道衬砌、渠系建筑物配套建设、排水沟整治、灌排泵站建设等，与往年不同的是，在本次规划中，以保证基本农田面积为基础，充分考虑农田建筑物生态化、美观化的元素，贯彻落实习近平总书记提出的“绿水青山、冰天雪地就是金山银山”思想。</w:t>
      </w:r>
    </w:p>
    <w:p>
      <w:pPr>
        <w:ind w:firstLine="480"/>
        <w:rPr>
          <w:rFonts w:hint="eastAsia"/>
          <w:color w:val="000000"/>
        </w:rPr>
      </w:pPr>
      <w:r>
        <w:rPr>
          <w:rFonts w:hint="eastAsia"/>
          <w:color w:val="000000"/>
        </w:rPr>
        <w:t>输水建筑物在接下来的十年中要向着强化输水效率、减少占用耕地、提高建筑物使用效率和合理使用年限等扎根基础设施建设的方向继续迈进。例如渠道衬砌工程，在农田改造工作中，镇赉县规划将输水效率低、占地面积大的梯形渠道逐步改建为矩形渠道，这样能够增加渠道输水效率，减少渠道输水过程中的水量损失，且由于矩形断面的推广将大大提高土地资源的利用效率。</w:t>
      </w:r>
    </w:p>
    <w:p>
      <w:pPr>
        <w:ind w:firstLine="0" w:firstLineChars="0"/>
        <w:jc w:val="center"/>
        <w:rPr>
          <w:color w:val="000000"/>
        </w:rPr>
      </w:pPr>
      <w:r>
        <w:rPr>
          <w:rFonts w:hint="eastAsia"/>
          <w:color w:val="000000"/>
        </w:rPr>
        <w:drawing>
          <wp:inline distT="0" distB="0" distL="114300" distR="114300">
            <wp:extent cx="5166360" cy="3774440"/>
            <wp:effectExtent l="0" t="0" r="15240" b="1651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5166360" cy="3774440"/>
                    </a:xfrm>
                    <a:prstGeom prst="rect">
                      <a:avLst/>
                    </a:prstGeom>
                    <a:noFill/>
                    <a:ln>
                      <a:noFill/>
                    </a:ln>
                  </pic:spPr>
                </pic:pic>
              </a:graphicData>
            </a:graphic>
          </wp:inline>
        </w:drawing>
      </w:r>
    </w:p>
    <w:p>
      <w:pPr>
        <w:ind w:firstLine="0" w:firstLineChars="0"/>
        <w:jc w:val="center"/>
        <w:rPr>
          <w:rFonts w:hint="eastAsia"/>
          <w:b/>
          <w:bCs/>
          <w:color w:val="000000"/>
        </w:rPr>
      </w:pPr>
      <w:r>
        <w:rPr>
          <w:rFonts w:hint="eastAsia"/>
          <w:b/>
          <w:bCs/>
          <w:color w:val="000000"/>
        </w:rPr>
        <w:t>图</w:t>
      </w:r>
      <w:r>
        <w:rPr>
          <w:b/>
          <w:bCs/>
          <w:color w:val="000000"/>
        </w:rPr>
        <w:t>4.3</w:t>
      </w:r>
      <w:r>
        <w:rPr>
          <w:rFonts w:hint="eastAsia"/>
          <w:b/>
          <w:bCs/>
          <w:color w:val="000000"/>
        </w:rPr>
        <w:t>-</w:t>
      </w:r>
      <w:r>
        <w:rPr>
          <w:b/>
          <w:bCs/>
          <w:color w:val="000000"/>
        </w:rPr>
        <w:t>1</w:t>
      </w:r>
      <w:r>
        <w:rPr>
          <w:rFonts w:hint="eastAsia"/>
          <w:b/>
          <w:bCs/>
          <w:color w:val="000000"/>
        </w:rPr>
        <w:t>矩形渠道效果图</w:t>
      </w:r>
    </w:p>
    <w:p>
      <w:pPr>
        <w:pStyle w:val="3"/>
        <w:rPr>
          <w:color w:val="000000"/>
        </w:rPr>
      </w:pPr>
      <w:bookmarkStart w:id="37" w:name="_Toc97667853"/>
      <w:bookmarkStart w:id="38" w:name="_Toc119750188"/>
      <w:r>
        <w:rPr>
          <w:color w:val="000000"/>
        </w:rPr>
        <w:t>4.4田间道路</w:t>
      </w:r>
      <w:bookmarkEnd w:id="37"/>
      <w:bookmarkEnd w:id="38"/>
    </w:p>
    <w:p>
      <w:pPr>
        <w:ind w:firstLine="480"/>
        <w:rPr>
          <w:color w:val="000000"/>
        </w:rPr>
      </w:pPr>
      <w:r>
        <w:rPr>
          <w:rFonts w:hint="eastAsia"/>
          <w:color w:val="000000"/>
        </w:rPr>
        <w:t>田间道路布置应按照区域生产作业需要和农业机械化要求，优化机耕路、生产路布局，整修田间道路，充分利用现有农村公路，并与田、水、林、电、村规划相衔接，统筹兼顾，因地制宜确定道路密度、宽度等要求。机耕路宽度宜4—6米，生产路宽度不宜超过3米，在大型机械化作业区，路面可适当放宽。合理配套建设农机下田坡道、桥涵、错车道和末端调头点等附属设施，提高农机作业便捷度。倡导建设生态型田间道路，因地制宜减少硬化路面及附属设施对生态的不利影响。建成后，田间道路直接通达的田块数占田块总数的比例，平原区达到100%，丘陵漫岗区达到90%以上，满足农机作业、农业物资运输等农业生产活动的要求。为了突出农田建设与生态保护相结合，在规划建设期间，田间道路附属设施增加生态建设，边沟在不影响排水的前提下多以草皮、生态袋等绿化形式护砌，田间道路两侧栽植农田防护林。</w:t>
      </w:r>
    </w:p>
    <w:p>
      <w:pPr>
        <w:pStyle w:val="3"/>
        <w:rPr>
          <w:color w:val="000000"/>
        </w:rPr>
      </w:pPr>
      <w:bookmarkStart w:id="39" w:name="_Toc119750189"/>
      <w:r>
        <w:rPr>
          <w:color w:val="000000"/>
        </w:rPr>
        <w:t>4.5</w:t>
      </w:r>
      <w:r>
        <w:rPr>
          <w:rFonts w:hint="eastAsia"/>
          <w:color w:val="000000"/>
        </w:rPr>
        <w:t>农田防护和生态环境保护</w:t>
      </w:r>
      <w:bookmarkEnd w:id="39"/>
    </w:p>
    <w:p>
      <w:pPr>
        <w:ind w:firstLine="480"/>
        <w:rPr>
          <w:rFonts w:hint="eastAsia"/>
          <w:color w:val="000000"/>
        </w:rPr>
      </w:pPr>
      <w:r>
        <w:rPr>
          <w:rFonts w:hint="eastAsia"/>
          <w:color w:val="000000"/>
        </w:rPr>
        <w:t>根据因害设防、因地制宜的原则，对农田防护与生态环境保护工程进行合理布局，与田块、沟渠、道路等工程相结合，与村庄环境相协调，完善农田防护与生态环境保护体系。镇赉县是受大风、沙尘等影响严重的区域，应加强农田防护与生态环境保护工程建设。结合立地和水源条件，兼顾生态和景观要求，科学确定树种，修复完善防护林网。建成后，林网与田块、沟渠、道路有机结合，林相整齐，结构合理。建成后，区域内受防护的农田面积比例一般不低于85%。农田防洪标准按洪水重现期20年~10年确定。</w:t>
      </w:r>
    </w:p>
    <w:p>
      <w:pPr>
        <w:ind w:firstLine="480"/>
        <w:rPr>
          <w:rFonts w:hint="eastAsia"/>
          <w:color w:val="000000"/>
        </w:rPr>
      </w:pPr>
      <w:r>
        <w:rPr>
          <w:color w:val="000000"/>
        </w:rPr>
        <w:t>为提升农田生态功能，</w:t>
      </w:r>
      <w:r>
        <w:rPr>
          <w:rFonts w:hint="eastAsia"/>
          <w:color w:val="000000"/>
        </w:rPr>
        <w:t>相应国家建设绿色生态农田的号召，镇赉县计划</w:t>
      </w:r>
      <w:r>
        <w:rPr>
          <w:color w:val="000000"/>
        </w:rPr>
        <w:t>在</w:t>
      </w:r>
      <w:r>
        <w:rPr>
          <w:rFonts w:hint="eastAsia"/>
          <w:color w:val="000000"/>
        </w:rPr>
        <w:t>全县</w:t>
      </w:r>
      <w:r>
        <w:rPr>
          <w:color w:val="000000"/>
        </w:rPr>
        <w:t>范围选择部分区域，开展绿色农田建设示范。因地制宜推行土壤改良、生态沟渠、田间道路和农田林网等工程措施，通过开展农田生态保护修复、集成推广绿色高质高效技术，提升农田生态保护能力和耕地自然景观水平，增加绿色优质农产品有效供给，打造集耕地质量保护提升、生态涵养、面源污染防治和田园生态景观改善为一体的高标准农田。</w:t>
      </w:r>
    </w:p>
    <w:p>
      <w:pPr>
        <w:ind w:firstLine="0" w:firstLineChars="0"/>
        <w:rPr>
          <w:color w:val="000000"/>
        </w:rPr>
      </w:pPr>
      <w:r>
        <w:rPr>
          <w:color w:val="000000"/>
        </w:rPr>
        <w:drawing>
          <wp:inline distT="0" distB="0" distL="114300" distR="114300">
            <wp:extent cx="5579745" cy="3719830"/>
            <wp:effectExtent l="0" t="0" r="1905" b="1397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2"/>
                    <a:stretch>
                      <a:fillRect/>
                    </a:stretch>
                  </pic:blipFill>
                  <pic:spPr>
                    <a:xfrm>
                      <a:off x="0" y="0"/>
                      <a:ext cx="5579745" cy="3719830"/>
                    </a:xfrm>
                    <a:prstGeom prst="rect">
                      <a:avLst/>
                    </a:prstGeom>
                    <a:noFill/>
                    <a:ln>
                      <a:noFill/>
                    </a:ln>
                  </pic:spPr>
                </pic:pic>
              </a:graphicData>
            </a:graphic>
          </wp:inline>
        </w:drawing>
      </w:r>
    </w:p>
    <w:p>
      <w:pPr>
        <w:ind w:firstLine="0" w:firstLineChars="0"/>
        <w:jc w:val="center"/>
        <w:rPr>
          <w:rFonts w:hint="eastAsia"/>
          <w:b/>
          <w:bCs/>
          <w:color w:val="000000"/>
        </w:rPr>
      </w:pPr>
      <w:r>
        <w:rPr>
          <w:rFonts w:hint="eastAsia"/>
          <w:b/>
          <w:bCs/>
          <w:color w:val="000000"/>
        </w:rPr>
        <w:t>图</w:t>
      </w:r>
      <w:r>
        <w:rPr>
          <w:b/>
          <w:bCs/>
          <w:color w:val="000000"/>
        </w:rPr>
        <w:t>4.5</w:t>
      </w:r>
      <w:r>
        <w:rPr>
          <w:rFonts w:hint="eastAsia"/>
          <w:b/>
          <w:bCs/>
          <w:color w:val="000000"/>
        </w:rPr>
        <w:t>-</w:t>
      </w:r>
      <w:r>
        <w:rPr>
          <w:b/>
          <w:bCs/>
          <w:color w:val="000000"/>
        </w:rPr>
        <w:t>1</w:t>
      </w:r>
      <w:r>
        <w:rPr>
          <w:rFonts w:hint="eastAsia"/>
          <w:b/>
          <w:bCs/>
          <w:color w:val="000000"/>
        </w:rPr>
        <w:t>农田防护林纵横交错美观又生态</w:t>
      </w:r>
    </w:p>
    <w:p>
      <w:pPr>
        <w:pStyle w:val="3"/>
        <w:rPr>
          <w:color w:val="000000"/>
        </w:rPr>
      </w:pPr>
      <w:bookmarkStart w:id="40" w:name="_Toc119750190"/>
      <w:r>
        <w:rPr>
          <w:color w:val="000000"/>
        </w:rPr>
        <w:t>4.6农田</w:t>
      </w:r>
      <w:r>
        <w:rPr>
          <w:rFonts w:hint="eastAsia"/>
          <w:color w:val="000000"/>
        </w:rPr>
        <w:t>输配电</w:t>
      </w:r>
      <w:bookmarkEnd w:id="40"/>
    </w:p>
    <w:p>
      <w:pPr>
        <w:ind w:firstLine="480"/>
        <w:rPr>
          <w:color w:val="000000"/>
        </w:rPr>
      </w:pPr>
      <w:r>
        <w:rPr>
          <w:rFonts w:hint="eastAsia"/>
          <w:color w:val="000000"/>
        </w:rPr>
        <w:t>对适宜电力排灌和信息化的农田，铺设高压和低压输电电路，配套建设变配电设施，为泵站、机井以及信息化工程等提供电力保障。根据农田现代化建设和管理要求，合理布设弱电设施。农田输配电工程供电方案应符合电网建设总体规划，因地制宜合理确定建设方案，做到安全可靠、经济适用。输配电设施应与田间道路、灌溉与排水等工程相结合。建成后，实现农田机井、泵站等供电设施完善、电力系统安装与运行符合相关标准，用电质量和安全水平得到提高。</w:t>
      </w:r>
    </w:p>
    <w:p>
      <w:pPr>
        <w:ind w:firstLine="480"/>
        <w:rPr>
          <w:color w:val="000000"/>
        </w:rPr>
      </w:pPr>
      <w:r>
        <w:rPr>
          <w:rFonts w:hint="eastAsia"/>
          <w:color w:val="000000"/>
        </w:rPr>
        <w:t>规划新建架空线路、电缆线路、变压器、安装低压配电箱和防雷及接地等。</w:t>
      </w:r>
    </w:p>
    <w:p>
      <w:pPr>
        <w:pStyle w:val="3"/>
        <w:rPr>
          <w:color w:val="000000"/>
        </w:rPr>
      </w:pPr>
      <w:bookmarkStart w:id="41" w:name="_Toc97667855"/>
      <w:bookmarkStart w:id="42" w:name="_Toc119750191"/>
      <w:r>
        <w:rPr>
          <w:color w:val="000000"/>
        </w:rPr>
        <w:t>4.7科技服务</w:t>
      </w:r>
      <w:bookmarkEnd w:id="41"/>
      <w:bookmarkEnd w:id="42"/>
    </w:p>
    <w:p>
      <w:pPr>
        <w:ind w:firstLine="480"/>
        <w:rPr>
          <w:color w:val="000000"/>
        </w:rPr>
      </w:pPr>
      <w:r>
        <w:rPr>
          <w:rFonts w:hint="eastAsia"/>
          <w:color w:val="000000"/>
        </w:rPr>
        <w:t>建立高标准农田耕地质量长期定位监测点，跟踪监测耕地质量变化情况，推广免耕少耕、黑土地保护等技术措施，保护和持续提升耕地质量。推进数字农业、良种良法、科学施肥、病虫害综合防治等农业科技应用，科学合理利用高标准农田。通过加强农业科技配套与应用，使机械化耕、种、收综合作业水平达到95%。基本形成农田监测网络，保持土壤养分平衡，各项养分含量水平应保持在当地中值水平以上。</w:t>
      </w:r>
    </w:p>
    <w:p>
      <w:pPr>
        <w:ind w:firstLine="480"/>
        <w:rPr>
          <w:color w:val="000000"/>
        </w:rPr>
      </w:pPr>
      <w:r>
        <w:rPr>
          <w:color w:val="000000"/>
        </w:rPr>
        <w:t>为跟踪监测高标准农田耕地质量变化情况，及时发现耕地生产障碍因素与设施损毁情况，开展有针对性的培肥改良、治理修复、设施维护，可按</w:t>
      </w:r>
      <w:r>
        <w:rPr>
          <w:rFonts w:hint="eastAsia"/>
          <w:color w:val="000000"/>
        </w:rPr>
        <w:t>照吉林省农业厅统一部署</w:t>
      </w:r>
      <w:r>
        <w:rPr>
          <w:color w:val="000000"/>
        </w:rPr>
        <w:t>设置监测点，建立高标准农田耕地质量长期定位监测点。监测点对农田生产条件、土壤墒情、土壤主要理化性状、农业投入、作物产量、农田设施维护等情况开展监测，为有针对性提高高标准农田质量与产能水平提供依据。</w:t>
      </w:r>
    </w:p>
    <w:p>
      <w:pPr>
        <w:ind w:firstLine="480"/>
        <w:rPr>
          <w:color w:val="000000"/>
        </w:rPr>
      </w:pPr>
      <w:r>
        <w:rPr>
          <w:rFonts w:hint="eastAsia"/>
          <w:color w:val="000000"/>
        </w:rPr>
        <w:t>建设监测点要按照吉林省农业厅建设通知实施，建设后设立监测点标识牌。</w:t>
      </w:r>
      <w:r>
        <w:rPr>
          <w:color w:val="000000"/>
        </w:rPr>
        <w:t>　</w:t>
      </w:r>
    </w:p>
    <w:p>
      <w:pPr>
        <w:ind w:firstLine="480"/>
        <w:rPr>
          <w:color w:val="000000"/>
        </w:rPr>
      </w:pPr>
      <w:r>
        <w:rPr>
          <w:rFonts w:hint="eastAsia"/>
          <w:color w:val="000000"/>
        </w:rPr>
        <w:t>（一）</w:t>
      </w:r>
      <w:r>
        <w:rPr>
          <w:color w:val="000000"/>
        </w:rPr>
        <w:t>自动监测功能区。功能主要开展土壤墒情自动监测。面</w:t>
      </w:r>
      <w:r>
        <w:rPr>
          <w:rFonts w:hint="eastAsia"/>
          <w:color w:val="000000"/>
        </w:rPr>
        <w:t>积不小于</w:t>
      </w:r>
      <w:r>
        <w:rPr>
          <w:color w:val="000000"/>
        </w:rPr>
        <w:t>33</w:t>
      </w:r>
      <w:r>
        <w:rPr>
          <w:rFonts w:hint="eastAsia"/>
          <w:color w:val="000000"/>
        </w:rPr>
        <w:t>m</w:t>
      </w:r>
      <w:r>
        <w:rPr>
          <w:color w:val="000000"/>
          <w:vertAlign w:val="superscript"/>
        </w:rPr>
        <w:t>2</w:t>
      </w:r>
      <w:r>
        <w:rPr>
          <w:color w:val="000000"/>
        </w:rPr>
        <w:t>，四周围栏采用不锈钢材质，栏高不低于1.5m，内</w:t>
      </w:r>
      <w:r>
        <w:rPr>
          <w:rFonts w:hint="eastAsia"/>
          <w:color w:val="000000"/>
        </w:rPr>
        <w:t>设自动监测仪等设备，并设立监测标识牌，墒情监测设备不单设围栏。如区域设置在水田附近，应保障有一定的距离，避免水田排灌影响。</w:t>
      </w:r>
    </w:p>
    <w:p>
      <w:pPr>
        <w:ind w:firstLine="480"/>
        <w:rPr>
          <w:color w:val="000000"/>
        </w:rPr>
      </w:pPr>
      <w:r>
        <w:rPr>
          <w:rFonts w:hint="eastAsia"/>
          <w:color w:val="000000"/>
        </w:rPr>
        <w:t>（二）</w:t>
      </w:r>
      <w:r>
        <w:rPr>
          <w:color w:val="000000"/>
        </w:rPr>
        <w:t>耕地质量监测功能区。主要监测并反映耕地地力、土壤</w:t>
      </w:r>
      <w:r>
        <w:rPr>
          <w:rFonts w:hint="eastAsia"/>
          <w:color w:val="000000"/>
        </w:rPr>
        <w:t>健康状况等动态变化。总面积</w:t>
      </w:r>
      <w:r>
        <w:rPr>
          <w:color w:val="000000"/>
        </w:rPr>
        <w:t>265m</w:t>
      </w:r>
      <w:r>
        <w:rPr>
          <w:color w:val="000000"/>
          <w:vertAlign w:val="superscript"/>
        </w:rPr>
        <w:t>2</w:t>
      </w:r>
      <w:r>
        <w:rPr>
          <w:rFonts w:hint="eastAsia" w:ascii="Arial" w:hAnsi="Arial" w:cs="Arial"/>
          <w:color w:val="000000"/>
        </w:rPr>
        <w:t>~</w:t>
      </w:r>
      <w:r>
        <w:rPr>
          <w:color w:val="000000"/>
        </w:rPr>
        <w:t>535m</w:t>
      </w:r>
      <w:r>
        <w:rPr>
          <w:color w:val="000000"/>
          <w:vertAlign w:val="superscript"/>
        </w:rPr>
        <w:t>2</w:t>
      </w:r>
      <w:r>
        <w:rPr>
          <w:color w:val="000000"/>
        </w:rPr>
        <w:t>，设置3个区，即长期</w:t>
      </w:r>
      <w:r>
        <w:rPr>
          <w:rFonts w:hint="eastAsia"/>
          <w:color w:val="000000"/>
        </w:rPr>
        <w:t>不施肥区、当年不施肥区、常规施肥区，其中当年不施肥区包括</w:t>
      </w:r>
      <w:r>
        <w:rPr>
          <w:color w:val="000000"/>
        </w:rPr>
        <w:t>3</w:t>
      </w:r>
      <w:r>
        <w:rPr>
          <w:rFonts w:hint="eastAsia"/>
          <w:color w:val="000000"/>
        </w:rPr>
        <w:t>个轮换小区</w:t>
      </w:r>
      <w:r>
        <w:rPr>
          <w:color w:val="000000"/>
        </w:rPr>
        <w:t>，保证逐年依次轮换。完成各耕地质量监测功能区划分、</w:t>
      </w:r>
      <w:r>
        <w:rPr>
          <w:rFonts w:hint="eastAsia"/>
          <w:color w:val="000000"/>
        </w:rPr>
        <w:t>修建隔离设施、设立监测点展示牌等基础建设工作。各监测功能区以及小区田间可使用隔离设施，也可利用砖路、田埂等隔离。</w:t>
      </w:r>
    </w:p>
    <w:p>
      <w:pPr>
        <w:ind w:firstLine="480"/>
        <w:rPr>
          <w:color w:val="000000"/>
        </w:rPr>
      </w:pPr>
      <w:r>
        <w:rPr>
          <w:rFonts w:hint="eastAsia"/>
          <w:color w:val="000000"/>
        </w:rPr>
        <w:t>（三）</w:t>
      </w:r>
      <w:r>
        <w:rPr>
          <w:color w:val="000000"/>
        </w:rPr>
        <w:t>培肥改良试验监测功能区。主要用于各种培肥改良技术</w:t>
      </w:r>
      <w:r>
        <w:rPr>
          <w:rFonts w:hint="eastAsia"/>
          <w:color w:val="000000"/>
        </w:rPr>
        <w:t>模式试验，监测培肥改良效果。总面积</w:t>
      </w:r>
      <w:r>
        <w:rPr>
          <w:color w:val="000000"/>
        </w:rPr>
        <w:t>200m</w:t>
      </w:r>
      <w:r>
        <w:rPr>
          <w:color w:val="000000"/>
          <w:vertAlign w:val="superscript"/>
        </w:rPr>
        <w:t>2</w:t>
      </w:r>
      <w:r>
        <w:rPr>
          <w:rFonts w:hint="eastAsia" w:ascii="Arial" w:hAnsi="Arial" w:cs="Arial"/>
          <w:color w:val="000000"/>
        </w:rPr>
        <w:t>~</w:t>
      </w:r>
      <w:r>
        <w:rPr>
          <w:color w:val="000000"/>
        </w:rPr>
        <w:t>400m</w:t>
      </w:r>
      <w:r>
        <w:rPr>
          <w:color w:val="000000"/>
          <w:vertAlign w:val="superscript"/>
        </w:rPr>
        <w:t>2</w:t>
      </w:r>
      <w:r>
        <w:rPr>
          <w:color w:val="000000"/>
        </w:rPr>
        <w:t>。隔离设施</w:t>
      </w:r>
      <w:r>
        <w:rPr>
          <w:rFonts w:hint="eastAsia"/>
          <w:color w:val="000000"/>
        </w:rPr>
        <w:t>要求同耕地质量监测功能区。可结合实际情况划分为数个小区，进行不同模式的配肥改良试验。</w:t>
      </w:r>
    </w:p>
    <w:p>
      <w:pPr>
        <w:ind w:firstLine="480"/>
        <w:rPr>
          <w:color w:val="000000"/>
        </w:rPr>
      </w:pPr>
      <w:r>
        <w:rPr>
          <w:rFonts w:hint="eastAsia"/>
          <w:color w:val="000000"/>
        </w:rPr>
        <w:t>根据《耕地质量监测技术规程》（NY∕T1119-2019）要求，耕地质量监测点还要做到以下要求：</w:t>
      </w:r>
    </w:p>
    <w:p>
      <w:pPr>
        <w:ind w:firstLine="480"/>
        <w:rPr>
          <w:color w:val="000000"/>
        </w:rPr>
      </w:pPr>
      <w:r>
        <w:rPr>
          <w:color w:val="000000"/>
        </w:rPr>
        <w:t>(一)监测点编号。省土肥站负责组织全省县级农技推广单位</w:t>
      </w:r>
      <w:r>
        <w:rPr>
          <w:rFonts w:hint="eastAsia"/>
          <w:color w:val="000000"/>
        </w:rPr>
        <w:t>实施耕地质量监测工作，并对全省耕地质量监测点进行统一编号管理。各地监测点在设立标牌前，应同省土肥站联系确定监测点编号，确保建成后纳入省级统一监测工作。</w:t>
      </w:r>
    </w:p>
    <w:p>
      <w:pPr>
        <w:ind w:firstLine="480"/>
        <w:rPr>
          <w:color w:val="000000"/>
        </w:rPr>
      </w:pPr>
      <w:r>
        <w:rPr>
          <w:color w:val="000000"/>
        </w:rPr>
        <w:t>(二)监测设备功能要求</w:t>
      </w:r>
    </w:p>
    <w:p>
      <w:pPr>
        <w:ind w:firstLine="480"/>
        <w:rPr>
          <w:color w:val="000000"/>
        </w:rPr>
      </w:pPr>
      <w:r>
        <w:rPr>
          <w:rFonts w:hint="eastAsia"/>
          <w:color w:val="000000"/>
        </w:rPr>
        <w:t>①</w:t>
      </w:r>
      <w:r>
        <w:rPr>
          <w:color w:val="000000"/>
        </w:rPr>
        <w:t>数据能自动上传到全国土壤墒情监测系统、吉林省土壤墒</w:t>
      </w:r>
      <w:r>
        <w:rPr>
          <w:rFonts w:hint="eastAsia"/>
          <w:color w:val="000000"/>
        </w:rPr>
        <w:t>情监测预警平台、土肥管家</w:t>
      </w:r>
      <w:r>
        <w:rPr>
          <w:color w:val="000000"/>
        </w:rPr>
        <w:t>APP墒情模块；</w:t>
      </w:r>
    </w:p>
    <w:p>
      <w:pPr>
        <w:ind w:firstLine="480"/>
        <w:rPr>
          <w:color w:val="000000"/>
        </w:rPr>
      </w:pPr>
      <w:r>
        <w:rPr>
          <w:rFonts w:hint="eastAsia"/>
          <w:color w:val="000000"/>
        </w:rPr>
        <w:t>②</w:t>
      </w:r>
      <w:r>
        <w:rPr>
          <w:color w:val="000000"/>
        </w:rPr>
        <w:t>数据可在云平台查看；显示界面图形化；可根据时间导出</w:t>
      </w:r>
      <w:r>
        <w:rPr>
          <w:rFonts w:hint="eastAsia"/>
          <w:color w:val="000000"/>
        </w:rPr>
        <w:t>相关数据</w:t>
      </w:r>
      <w:r>
        <w:rPr>
          <w:color w:val="000000"/>
        </w:rPr>
        <w:t>；可生成整合数据报表；可显示各设备所在经纬度、各站</w:t>
      </w:r>
      <w:r>
        <w:rPr>
          <w:rFonts w:hint="eastAsia"/>
          <w:color w:val="000000"/>
        </w:rPr>
        <w:t>点通讯信号强度、各个监测点的电量情况等。</w:t>
      </w:r>
    </w:p>
    <w:p>
      <w:pPr>
        <w:ind w:firstLine="480"/>
        <w:rPr>
          <w:color w:val="000000"/>
        </w:rPr>
      </w:pPr>
      <w:r>
        <w:rPr>
          <w:rFonts w:hint="eastAsia"/>
          <w:color w:val="000000"/>
        </w:rPr>
        <w:t>③</w:t>
      </w:r>
      <w:r>
        <w:rPr>
          <w:color w:val="000000"/>
        </w:rPr>
        <w:t>配置图片传感器的不低于200万像素。</w:t>
      </w:r>
    </w:p>
    <w:p>
      <w:pPr>
        <w:ind w:firstLine="480"/>
        <w:rPr>
          <w:color w:val="000000"/>
        </w:rPr>
      </w:pPr>
      <w:r>
        <w:rPr>
          <w:rFonts w:hint="eastAsia"/>
          <w:color w:val="000000"/>
        </w:rPr>
        <w:t>④</w:t>
      </w:r>
      <w:r>
        <w:rPr>
          <w:color w:val="000000"/>
        </w:rPr>
        <w:t>设备具备全年四季正常使用要求，适合东北冬季气候，可</w:t>
      </w:r>
      <w:r>
        <w:rPr>
          <w:rFonts w:hint="eastAsia"/>
          <w:color w:val="000000"/>
        </w:rPr>
        <w:t>监测土壤冻融状态，指导农业生产。</w:t>
      </w:r>
    </w:p>
    <w:p>
      <w:pPr>
        <w:ind w:firstLine="480"/>
        <w:rPr>
          <w:color w:val="000000"/>
        </w:rPr>
      </w:pPr>
      <w:r>
        <w:rPr>
          <w:rFonts w:hint="eastAsia"/>
          <w:color w:val="000000"/>
        </w:rPr>
        <w:t>⑤</w:t>
      </w:r>
      <w:r>
        <w:rPr>
          <w:color w:val="000000"/>
        </w:rPr>
        <w:t>设备供应方必须严格做好设备的室内出厂标定和田间标定，</w:t>
      </w:r>
      <w:r>
        <w:rPr>
          <w:rFonts w:hint="eastAsia"/>
          <w:color w:val="000000"/>
        </w:rPr>
        <w:t>确保数据准确性，并在设备后期运行中，做好服务义务，配合使用单位开展数据校正工作，发现问题及时解决。</w:t>
      </w:r>
    </w:p>
    <w:p>
      <w:pPr>
        <w:ind w:firstLine="480"/>
        <w:rPr>
          <w:color w:val="000000"/>
        </w:rPr>
      </w:pPr>
      <w:r>
        <w:rPr>
          <w:rFonts w:hint="eastAsia"/>
          <w:color w:val="000000"/>
        </w:rPr>
        <w:t>⑥</w:t>
      </w:r>
      <w:r>
        <w:rPr>
          <w:color w:val="000000"/>
        </w:rPr>
        <w:t>设备供方应保证所提供的产品在三年內可以正常使用，出现</w:t>
      </w:r>
      <w:r>
        <w:rPr>
          <w:rFonts w:hint="eastAsia"/>
          <w:color w:val="000000"/>
        </w:rPr>
        <w:t>质量问题可以免费维修和</w:t>
      </w:r>
      <w:r>
        <w:rPr>
          <w:color w:val="000000"/>
        </w:rPr>
        <w:t>/或更换有缺陷的货物或部件。</w:t>
      </w:r>
    </w:p>
    <w:p>
      <w:pPr>
        <w:ind w:firstLine="0" w:firstLineChars="0"/>
        <w:rPr>
          <w:color w:val="000000"/>
        </w:rPr>
      </w:pPr>
      <w:r>
        <w:rPr>
          <w:rFonts w:ascii="宋体" w:hAnsi="宋体" w:cs="宋体"/>
          <w:color w:val="000000"/>
          <w:szCs w:val="24"/>
        </w:rPr>
        <w:fldChar w:fldCharType="begin"/>
      </w:r>
      <w:r>
        <w:rPr>
          <w:rFonts w:ascii="宋体" w:hAnsi="宋体" w:cs="宋体"/>
          <w:color w:val="000000"/>
          <w:szCs w:val="24"/>
        </w:rPr>
        <w:instrText xml:space="preserve">INCLUDEPICTURE \d "https://p0.itc.cn/images01/20220208/a9acd68c798946548f405bfef49ccc67.jpeg" \* MERGEFORMATINET </w:instrText>
      </w:r>
      <w:r>
        <w:rPr>
          <w:rFonts w:ascii="宋体" w:hAnsi="宋体" w:cs="宋体"/>
          <w:color w:val="000000"/>
          <w:szCs w:val="24"/>
        </w:rPr>
        <w:fldChar w:fldCharType="separate"/>
      </w:r>
      <w:r>
        <w:rPr>
          <w:rFonts w:ascii="宋体" w:hAnsi="宋体" w:cs="宋体"/>
          <w:color w:val="000000"/>
          <w:szCs w:val="24"/>
        </w:rPr>
        <w:drawing>
          <wp:inline distT="0" distB="0" distL="114300" distR="114300">
            <wp:extent cx="5543550" cy="3326130"/>
            <wp:effectExtent l="0" t="0" r="0" b="762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23"/>
                    <a:stretch>
                      <a:fillRect/>
                    </a:stretch>
                  </pic:blipFill>
                  <pic:spPr>
                    <a:xfrm>
                      <a:off x="0" y="0"/>
                      <a:ext cx="5543550" cy="3326130"/>
                    </a:xfrm>
                    <a:prstGeom prst="rect">
                      <a:avLst/>
                    </a:prstGeom>
                    <a:noFill/>
                    <a:ln>
                      <a:noFill/>
                    </a:ln>
                  </pic:spPr>
                </pic:pic>
              </a:graphicData>
            </a:graphic>
          </wp:inline>
        </w:drawing>
      </w:r>
      <w:r>
        <w:rPr>
          <w:rFonts w:ascii="宋体" w:hAnsi="宋体" w:cs="宋体"/>
          <w:color w:val="000000"/>
          <w:szCs w:val="24"/>
        </w:rPr>
        <w:fldChar w:fldCharType="end"/>
      </w:r>
    </w:p>
    <w:p>
      <w:pPr>
        <w:ind w:firstLine="480"/>
        <w:rPr>
          <w:color w:val="000000"/>
        </w:rPr>
      </w:pPr>
      <w:r>
        <w:rPr>
          <w:color w:val="000000"/>
        </w:rPr>
        <w:t>(二)建设后移交建议</w:t>
      </w:r>
    </w:p>
    <w:p>
      <w:pPr>
        <w:ind w:firstLine="480"/>
        <w:rPr>
          <w:color w:val="000000"/>
        </w:rPr>
      </w:pPr>
      <w:r>
        <w:rPr>
          <w:rFonts w:hint="eastAsia"/>
          <w:color w:val="000000"/>
        </w:rPr>
        <w:t>我省的国家级耕地质量监测点和省级监测点，均由所在县农业农村局下属农业技术推广单位管理并开展监测工作。为便于管理和充分发挥监测功能，监测点在建设完成后，移交县级农技推广单位管理。</w:t>
      </w:r>
    </w:p>
    <w:p>
      <w:pPr>
        <w:pStyle w:val="3"/>
        <w:rPr>
          <w:color w:val="000000"/>
        </w:rPr>
      </w:pPr>
      <w:bookmarkStart w:id="43" w:name="_Toc119750192"/>
      <w:r>
        <w:rPr>
          <w:color w:val="000000"/>
        </w:rPr>
        <w:t>4.8</w:t>
      </w:r>
      <w:r>
        <w:rPr>
          <w:rFonts w:hint="eastAsia"/>
          <w:color w:val="000000"/>
        </w:rPr>
        <w:t>管护利用</w:t>
      </w:r>
      <w:bookmarkEnd w:id="43"/>
    </w:p>
    <w:p>
      <w:pPr>
        <w:ind w:firstLine="480"/>
        <w:rPr>
          <w:rFonts w:hint="eastAsia"/>
          <w:color w:val="000000"/>
          <w:szCs w:val="24"/>
        </w:rPr>
      </w:pPr>
      <w:r>
        <w:rPr>
          <w:rFonts w:hint="eastAsia"/>
          <w:color w:val="000000"/>
          <w:szCs w:val="24"/>
        </w:rPr>
        <w:t>对高标准农田建设和利用的全过程进行管理，实现集中统一、全程全面、实时动态的管理目标。利用“全国农田建设综合监测监管系统”平台，定期全面报备建设信息，全面开展高标准农田建设项目信息统一上图入库，实现有据可查、全程监控、精准管理、资源共享。及时将与高标准农田建设相关的管理、技术等资料立卷归档。依据《耕地质量等级》（GB/T33469</w:t>
      </w:r>
      <w:r>
        <w:rPr>
          <w:color w:val="000000"/>
          <w:szCs w:val="24"/>
        </w:rPr>
        <w:t>-2016</w:t>
      </w:r>
      <w:r>
        <w:rPr>
          <w:rFonts w:hint="eastAsia"/>
          <w:color w:val="000000"/>
          <w:szCs w:val="24"/>
        </w:rPr>
        <w:t>）国家标准，在项目实施前后及时开展耕地质量等级调查评价。深入推进农业水价综合改革，落实高标准农田管护主体和责任，引导新型经营主体参与高标准农田设施运行管护。健全管护制度，落实管护资金，加强管护资金使用监管，及时修复损毁工程，确保建成的高标准农田持续发挥效益。建成后的高标准农田应通过具体措施，实现土壤肥力保持或持续提高，使土壤有机质含量达到当地中值以上水平，并应持续实施测土配方施肥，保持土壤养分平衡，各项养分含量</w:t>
      </w:r>
    </w:p>
    <w:p>
      <w:pPr>
        <w:ind w:firstLine="480"/>
        <w:rPr>
          <w:color w:val="000000"/>
          <w:szCs w:val="24"/>
        </w:rPr>
      </w:pPr>
      <w:r>
        <w:rPr>
          <w:rFonts w:hint="eastAsia"/>
          <w:color w:val="000000"/>
          <w:szCs w:val="24"/>
        </w:rPr>
        <w:t>指标应达到并保持在当地土壤养分丰缺指标体系的中值水平左右，增加资金投入，提高测土配方施肥技术覆盖率。</w:t>
      </w:r>
    </w:p>
    <w:p>
      <w:pPr>
        <w:ind w:firstLine="480"/>
        <w:rPr>
          <w:color w:val="000000"/>
        </w:rPr>
      </w:pPr>
      <w:r>
        <w:rPr>
          <w:rFonts w:hint="eastAsia"/>
          <w:color w:val="000000"/>
          <w:szCs w:val="24"/>
        </w:rPr>
        <w:t>在</w:t>
      </w:r>
      <w:r>
        <w:rPr>
          <w:rFonts w:hint="eastAsia"/>
          <w:color w:val="000000"/>
        </w:rPr>
        <w:t>土地平整地区加强信息化、现代化建设</w:t>
      </w:r>
      <w:r>
        <w:rPr>
          <w:rFonts w:hint="eastAsia"/>
          <w:color w:val="000000"/>
          <w:sz w:val="27"/>
        </w:rPr>
        <w:t>，</w:t>
      </w:r>
      <w:r>
        <w:rPr>
          <w:color w:val="000000"/>
        </w:rPr>
        <w:t>利用数字技术，推动农田建设、生产、管护相融合，提高全要素生产效率。重点推进物联网、大数据、移动互联网、智能控制、卫星定位等信息技术在农田建设中的应用，配套耕地质量综合监测点，构建天空地一体化的农田建设和管理测控系统，对工程建后管护和农田利用状况进行持续监测，实行农田灌溉排水等田间智能作业，提升生产精准化、智慧化水平。</w:t>
      </w:r>
    </w:p>
    <w:p>
      <w:pPr>
        <w:ind w:firstLine="480"/>
        <w:rPr>
          <w:color w:val="000000"/>
        </w:rPr>
      </w:pPr>
      <w:r>
        <w:rPr>
          <w:rFonts w:hint="eastAsia"/>
          <w:color w:val="000000"/>
        </w:rPr>
        <w:t>高标准农田建成后开展耕地质量动态监测，监测的内容包括农田基础设施、耕作便利条件、土地利用状况、生产管理水平等因素，在田间布设永久定位监测点，监测内容应包括耕地质量、农田土壤墒情和虫情。</w:t>
      </w:r>
    </w:p>
    <w:p>
      <w:pPr>
        <w:pStyle w:val="3"/>
        <w:rPr>
          <w:color w:val="000000"/>
        </w:rPr>
      </w:pPr>
      <w:bookmarkStart w:id="44" w:name="_Toc119750193"/>
      <w:r>
        <w:rPr>
          <w:color w:val="000000"/>
        </w:rPr>
        <w:t>4.9</w:t>
      </w:r>
      <w:r>
        <w:rPr>
          <w:rFonts w:hint="eastAsia"/>
          <w:color w:val="000000"/>
        </w:rPr>
        <w:t>设计依据</w:t>
      </w:r>
      <w:bookmarkEnd w:id="44"/>
    </w:p>
    <w:p>
      <w:pPr>
        <w:ind w:firstLine="480"/>
        <w:rPr>
          <w:rFonts w:hint="eastAsia"/>
          <w:color w:val="000000"/>
        </w:rPr>
      </w:pPr>
      <w:r>
        <w:rPr>
          <w:rFonts w:hint="eastAsia"/>
          <w:color w:val="000000"/>
        </w:rPr>
        <w:t>1）《高标准农田建设通则》（GB/T30600-20</w:t>
      </w:r>
      <w:r>
        <w:rPr>
          <w:color w:val="000000"/>
        </w:rPr>
        <w:t>22</w:t>
      </w:r>
      <w:r>
        <w:rPr>
          <w:rFonts w:hint="eastAsia"/>
          <w:color w:val="000000"/>
        </w:rPr>
        <w:t>）；</w:t>
      </w:r>
    </w:p>
    <w:p>
      <w:pPr>
        <w:ind w:firstLine="480"/>
        <w:rPr>
          <w:rFonts w:hint="eastAsia"/>
          <w:color w:val="000000"/>
        </w:rPr>
      </w:pPr>
      <w:r>
        <w:rPr>
          <w:rFonts w:hint="eastAsia"/>
          <w:color w:val="000000"/>
        </w:rPr>
        <w:t>2）《渠道防渗工程技术规范》（SL18-2010）；</w:t>
      </w:r>
    </w:p>
    <w:p>
      <w:pPr>
        <w:ind w:firstLine="480"/>
        <w:rPr>
          <w:rFonts w:hint="eastAsia"/>
          <w:color w:val="000000"/>
        </w:rPr>
      </w:pPr>
      <w:r>
        <w:rPr>
          <w:rFonts w:hint="eastAsia"/>
          <w:color w:val="000000"/>
        </w:rPr>
        <w:t>3）《节水灌溉工程技术规范》（GBT50363-2018）；</w:t>
      </w:r>
    </w:p>
    <w:p>
      <w:pPr>
        <w:ind w:firstLine="480"/>
        <w:rPr>
          <w:rFonts w:hint="eastAsia"/>
          <w:color w:val="000000"/>
        </w:rPr>
      </w:pPr>
      <w:r>
        <w:rPr>
          <w:rFonts w:hint="eastAsia"/>
          <w:color w:val="000000"/>
        </w:rPr>
        <w:t>4）《灌溉与排水工程设计标准》（GB50288-2018）；</w:t>
      </w:r>
    </w:p>
    <w:p>
      <w:pPr>
        <w:ind w:firstLine="480"/>
        <w:rPr>
          <w:rFonts w:hint="eastAsia"/>
          <w:color w:val="000000"/>
        </w:rPr>
      </w:pPr>
      <w:r>
        <w:rPr>
          <w:rFonts w:hint="eastAsia"/>
          <w:color w:val="000000"/>
        </w:rPr>
        <w:t>5）《防洪标准》（GB50201-2014）；</w:t>
      </w:r>
    </w:p>
    <w:p>
      <w:pPr>
        <w:ind w:firstLine="480"/>
        <w:rPr>
          <w:rFonts w:hint="eastAsia"/>
          <w:color w:val="000000"/>
        </w:rPr>
      </w:pPr>
      <w:r>
        <w:rPr>
          <w:rFonts w:hint="eastAsia"/>
          <w:color w:val="000000"/>
        </w:rPr>
        <w:t>6）《水利水电工程等级划分及洪水标准》（SL252-2017）；</w:t>
      </w:r>
    </w:p>
    <w:p>
      <w:pPr>
        <w:ind w:firstLine="480"/>
        <w:rPr>
          <w:rFonts w:hint="eastAsia"/>
          <w:color w:val="000000"/>
        </w:rPr>
      </w:pPr>
      <w:r>
        <w:rPr>
          <w:rFonts w:hint="eastAsia"/>
          <w:color w:val="000000"/>
        </w:rPr>
        <w:t>7）《公路桥涵设计通用规范》（JTG D60-2015）；</w:t>
      </w:r>
    </w:p>
    <w:p>
      <w:pPr>
        <w:ind w:firstLine="480"/>
        <w:rPr>
          <w:rFonts w:hint="eastAsia"/>
          <w:color w:val="000000"/>
        </w:rPr>
      </w:pPr>
      <w:r>
        <w:rPr>
          <w:rFonts w:hint="eastAsia"/>
          <w:color w:val="000000"/>
        </w:rPr>
        <w:t>8）《水闸设计规范》（SL265-20</w:t>
      </w:r>
      <w:r>
        <w:rPr>
          <w:color w:val="000000"/>
        </w:rPr>
        <w:t>16</w:t>
      </w:r>
      <w:r>
        <w:rPr>
          <w:rFonts w:hint="eastAsia"/>
          <w:color w:val="000000"/>
        </w:rPr>
        <w:t>）；</w:t>
      </w:r>
    </w:p>
    <w:p>
      <w:pPr>
        <w:ind w:firstLine="480"/>
        <w:rPr>
          <w:rFonts w:hint="eastAsia"/>
          <w:color w:val="000000"/>
        </w:rPr>
      </w:pPr>
      <w:r>
        <w:rPr>
          <w:rFonts w:hint="eastAsia"/>
          <w:color w:val="000000"/>
        </w:rPr>
        <w:t>9）《泵站设计规范》（GB50265-2010）；</w:t>
      </w:r>
    </w:p>
    <w:p>
      <w:pPr>
        <w:ind w:firstLine="480"/>
        <w:rPr>
          <w:color w:val="000000"/>
        </w:rPr>
      </w:pPr>
      <w:r>
        <w:rPr>
          <w:rFonts w:hint="eastAsia"/>
          <w:color w:val="000000"/>
        </w:rPr>
        <w:t>10）《灌溉与排水渠系建筑物设计规范》（SL482-2011）；</w:t>
      </w:r>
    </w:p>
    <w:p>
      <w:pPr>
        <w:ind w:firstLine="480"/>
        <w:rPr>
          <w:color w:val="000000"/>
        </w:rPr>
      </w:pPr>
      <w:r>
        <w:rPr>
          <w:rFonts w:hint="eastAsia"/>
          <w:color w:val="000000"/>
        </w:rPr>
        <w:t>1</w:t>
      </w:r>
      <w:r>
        <w:rPr>
          <w:color w:val="000000"/>
        </w:rPr>
        <w:t>1</w:t>
      </w:r>
      <w:r>
        <w:rPr>
          <w:rFonts w:hint="eastAsia"/>
          <w:color w:val="000000"/>
        </w:rPr>
        <w:t>）《耕地质量等级》（GB</w:t>
      </w:r>
      <w:r>
        <w:rPr>
          <w:color w:val="000000"/>
        </w:rPr>
        <w:t>/</w:t>
      </w:r>
      <w:r>
        <w:rPr>
          <w:rFonts w:hint="eastAsia"/>
          <w:color w:val="000000"/>
        </w:rPr>
        <w:t>T</w:t>
      </w:r>
      <w:r>
        <w:rPr>
          <w:color w:val="000000"/>
        </w:rPr>
        <w:t>33469</w:t>
      </w:r>
      <w:r>
        <w:rPr>
          <w:rFonts w:hint="eastAsia"/>
          <w:color w:val="000000"/>
        </w:rPr>
        <w:t>-20</w:t>
      </w:r>
      <w:r>
        <w:rPr>
          <w:color w:val="000000"/>
        </w:rPr>
        <w:t>16</w:t>
      </w:r>
      <w:r>
        <w:rPr>
          <w:rFonts w:hint="eastAsia"/>
          <w:color w:val="000000"/>
        </w:rPr>
        <w:t>）；</w:t>
      </w:r>
    </w:p>
    <w:p>
      <w:pPr>
        <w:ind w:firstLine="480"/>
        <w:rPr>
          <w:color w:val="000000"/>
        </w:rPr>
      </w:pPr>
      <w:r>
        <w:rPr>
          <w:rFonts w:hint="eastAsia"/>
          <w:color w:val="000000"/>
        </w:rPr>
        <w:t>1</w:t>
      </w:r>
      <w:r>
        <w:rPr>
          <w:color w:val="000000"/>
        </w:rPr>
        <w:t>2</w:t>
      </w:r>
      <w:r>
        <w:rPr>
          <w:rFonts w:hint="eastAsia"/>
          <w:color w:val="000000"/>
        </w:rPr>
        <w:t>）《土地利用现状分类》（GB</w:t>
      </w:r>
      <w:r>
        <w:rPr>
          <w:color w:val="000000"/>
        </w:rPr>
        <w:t>/</w:t>
      </w:r>
      <w:r>
        <w:rPr>
          <w:rFonts w:hint="eastAsia"/>
          <w:color w:val="000000"/>
        </w:rPr>
        <w:t>T</w:t>
      </w:r>
      <w:r>
        <w:rPr>
          <w:color w:val="000000"/>
        </w:rPr>
        <w:t>21010</w:t>
      </w:r>
      <w:r>
        <w:rPr>
          <w:rFonts w:hint="eastAsia"/>
          <w:color w:val="000000"/>
        </w:rPr>
        <w:t>-20</w:t>
      </w:r>
      <w:r>
        <w:rPr>
          <w:color w:val="000000"/>
        </w:rPr>
        <w:t>17</w:t>
      </w:r>
      <w:r>
        <w:rPr>
          <w:rFonts w:hint="eastAsia"/>
          <w:color w:val="000000"/>
        </w:rPr>
        <w:t>）；</w:t>
      </w:r>
    </w:p>
    <w:p>
      <w:pPr>
        <w:ind w:firstLine="480"/>
        <w:rPr>
          <w:color w:val="000000"/>
        </w:rPr>
      </w:pPr>
      <w:r>
        <w:rPr>
          <w:rFonts w:hint="eastAsia"/>
          <w:color w:val="000000"/>
        </w:rPr>
        <w:t>1</w:t>
      </w:r>
      <w:r>
        <w:rPr>
          <w:color w:val="000000"/>
        </w:rPr>
        <w:t>3</w:t>
      </w:r>
      <w:r>
        <w:rPr>
          <w:rFonts w:hint="eastAsia"/>
          <w:color w:val="000000"/>
        </w:rPr>
        <w:t>）《耕地质量监测技术规程》（NY∕T1119-2019）。</w:t>
      </w:r>
    </w:p>
    <w:p>
      <w:pPr>
        <w:ind w:firstLine="480"/>
        <w:rPr>
          <w:rFonts w:hint="eastAsia"/>
          <w:color w:val="000000"/>
        </w:rPr>
      </w:pPr>
    </w:p>
    <w:p>
      <w:pPr>
        <w:ind w:firstLine="480"/>
        <w:rPr>
          <w:rFonts w:hint="eastAsia"/>
          <w:color w:val="000000"/>
        </w:rPr>
      </w:pPr>
    </w:p>
    <w:p>
      <w:pPr>
        <w:pStyle w:val="2"/>
        <w:rPr>
          <w:color w:val="000000"/>
        </w:rPr>
      </w:pPr>
      <w:r>
        <w:rPr>
          <w:color w:val="000000"/>
        </w:rPr>
        <w:br w:type="page"/>
      </w:r>
      <w:bookmarkStart w:id="45" w:name="_Toc119750194"/>
      <w:bookmarkStart w:id="46" w:name="_Toc97667856"/>
      <w:r>
        <w:rPr>
          <w:color w:val="000000"/>
        </w:rPr>
        <w:t>5</w:t>
      </w:r>
      <w:r>
        <w:rPr>
          <w:rFonts w:hint="eastAsia"/>
          <w:color w:val="000000"/>
        </w:rPr>
        <w:t>建设分区和建设</w:t>
      </w:r>
      <w:r>
        <w:rPr>
          <w:color w:val="000000"/>
        </w:rPr>
        <w:t>重点</w:t>
      </w:r>
      <w:bookmarkEnd w:id="45"/>
      <w:bookmarkEnd w:id="46"/>
    </w:p>
    <w:p>
      <w:pPr>
        <w:pStyle w:val="3"/>
        <w:rPr>
          <w:color w:val="000000"/>
        </w:rPr>
      </w:pPr>
      <w:bookmarkStart w:id="47" w:name="_Toc119750195"/>
      <w:r>
        <w:rPr>
          <w:color w:val="000000"/>
        </w:rPr>
        <w:t>5.1</w:t>
      </w:r>
      <w:r>
        <w:rPr>
          <w:rFonts w:hint="eastAsia"/>
          <w:color w:val="000000"/>
        </w:rPr>
        <w:t>建设分区</w:t>
      </w:r>
      <w:bookmarkEnd w:id="47"/>
    </w:p>
    <w:p>
      <w:pPr>
        <w:ind w:firstLine="480"/>
        <w:rPr>
          <w:color w:val="000000"/>
        </w:rPr>
      </w:pPr>
      <w:r>
        <w:rPr>
          <w:rFonts w:hint="eastAsia"/>
          <w:color w:val="000000"/>
        </w:rPr>
        <w:t>根据吉林省区域气候特点、地形地貌、水土条件、耕作制度等因素，将全省高标准农田建设划分为长白山林农区、吉东低山丘陵农区、中部台地平原农区和西部冲积平原农区四个农业区，根据各农业区的水土资源禀赋、农业生产特点及高标准农田建设的制约因素，对各区高标准农田建设进行科学规划。</w:t>
      </w:r>
    </w:p>
    <w:p>
      <w:pPr>
        <w:ind w:firstLine="480"/>
        <w:rPr>
          <w:color w:val="000000"/>
        </w:rPr>
      </w:pPr>
      <w:r>
        <w:rPr>
          <w:rFonts w:hint="eastAsia"/>
          <w:color w:val="000000"/>
        </w:rPr>
        <w:t>镇赉县属于西部冲积平原农区。本区位于吉林省西部，该区地貌上以沙化和盐渍化的平原为特征，处于半干旱的草原气候地带，夏季温暖，冬季严寒少雪，风沙较多，蒸发量大但降雨量不足，使得水热组合差异显著，春旱年年发生。主要土壤类型为黑钙土、草甸土、黑土、风沙土和盐碱土，其中风沙土是我县主要低产土壤之一，集中分布于此区域，区域内耕地等级普遍偏低，低产田占比高，立地条件一般，抗旱抗风能力严重不足。</w:t>
      </w:r>
    </w:p>
    <w:p>
      <w:pPr>
        <w:ind w:firstLine="480"/>
        <w:rPr>
          <w:color w:val="000000"/>
        </w:rPr>
      </w:pPr>
      <w:r>
        <w:rPr>
          <w:rFonts w:hint="eastAsia"/>
          <w:color w:val="000000"/>
        </w:rPr>
        <w:t>本区热量资源充足，但水资源短缺，地下水开发利用程度高，降雨量集中于夏秋两季，适于玉米、杂粮以及油料作物生长，本地带也是我省的牧业基地。由于人为活动使生态遭到破坏，导致气候恶化、湖泡萎缩、地下水超采、旱灾频发、土壤风化和肥力下降等问题逐年加重。</w:t>
      </w:r>
    </w:p>
    <w:p>
      <w:pPr>
        <w:ind w:firstLine="480"/>
        <w:rPr>
          <w:rFonts w:hint="eastAsia"/>
          <w:color w:val="000000"/>
        </w:rPr>
      </w:pPr>
      <w:r>
        <w:rPr>
          <w:rFonts w:hint="eastAsia"/>
          <w:color w:val="000000"/>
        </w:rPr>
        <w:t>依据自然资源禀赋和国土空间、水资源利用等规划，综合考虑资源环境承载力、粮食保障要求等因素，确定高标准农田建设区域，明确建设的重点区域、限制区域和禁止区域。</w:t>
      </w:r>
    </w:p>
    <w:p>
      <w:pPr>
        <w:ind w:firstLine="480"/>
        <w:rPr>
          <w:rFonts w:hint="eastAsia"/>
          <w:color w:val="000000"/>
        </w:rPr>
      </w:pPr>
      <w:r>
        <w:rPr>
          <w:rFonts w:hint="eastAsia"/>
          <w:color w:val="000000"/>
        </w:rPr>
        <w:t>重点区域划定是以永久基本农田为基础，优先选择粮食生产功能区、重要农产品生产保护区和大中型灌区耕地灌溉面积范围内的区域。限制区域包括水资源贫乏区域、水土流失易发区、沙化区等生态脆弱区域，历史遗留的挖损、塌陷、压占等造成土地严重损毁且难以恢复的区域，安全利用类耕地，易受自然灾害损毁的区域，沿海滩涂、内陆滩涂等区域。禁止区域包括严格管控类耕地，生态保护红线内区域，退耕还林区、退牧还草区，河流、湖泊、水库水面及其保护范围等区域。</w:t>
      </w:r>
    </w:p>
    <w:p>
      <w:pPr>
        <w:pStyle w:val="3"/>
        <w:rPr>
          <w:color w:val="000000"/>
        </w:rPr>
      </w:pPr>
      <w:bookmarkStart w:id="48" w:name="_Toc119750196"/>
      <w:r>
        <w:rPr>
          <w:color w:val="000000"/>
        </w:rPr>
        <w:t>5.2</w:t>
      </w:r>
      <w:r>
        <w:rPr>
          <w:rFonts w:hint="eastAsia"/>
          <w:color w:val="000000"/>
        </w:rPr>
        <w:t>建设重点</w:t>
      </w:r>
      <w:bookmarkEnd w:id="48"/>
    </w:p>
    <w:p>
      <w:pPr>
        <w:ind w:firstLine="480"/>
        <w:rPr>
          <w:color w:val="000000"/>
        </w:rPr>
      </w:pPr>
      <w:r>
        <w:rPr>
          <w:rFonts w:hint="eastAsia"/>
          <w:color w:val="000000"/>
        </w:rPr>
        <w:t>镇赉县主要针对水资源短缺，农田灌溉保障率低，灌溉设施不完备，土壤风蚀沙化、盐碱化，冬干春旱等问题，以高效节水灌溉，土壤改良为主攻方向开展高标准农田建设。严格控制开采地下水，加强水源工程建设及灌溉泵站的新建与改造，积极拦蓄利用地表径流和灌溉回归水，增加可利用的水资源，提高灌溉保证率。积极发展节水灌溉工程，有条件的地区大力推广应用低压管灌、喷灌、微灌等高效节水灌溉技术。按照排涝设计标准疏通现状河沟，增加引排水能力。修建田间道路要统筹兼顾，科学规划，合理布局，注重生物保护，处理好生态平衡关系。按照农业机械化的要求，优化机耕路、生产路布局，配套建设农机下田坡道、桥涵等附属设施，提高农机作业便捷度。通过掺黏、客土、增施有机肥、测土配方施肥等综合措施，重点解决土壤过沙及肥力下降问题。采取工程排盐、增施土壤调理剂和有机肥等措施使改良后的盐碱土盐分含量低于0</w:t>
      </w:r>
      <w:r>
        <w:rPr>
          <w:color w:val="000000"/>
        </w:rPr>
        <w:t>.3</w:t>
      </w:r>
      <w:r>
        <w:rPr>
          <w:rFonts w:hint="eastAsia"/>
          <w:color w:val="000000"/>
        </w:rPr>
        <w:t>%，土壤的pH达到8</w:t>
      </w:r>
      <w:r>
        <w:rPr>
          <w:color w:val="000000"/>
        </w:rPr>
        <w:t>.5</w:t>
      </w:r>
      <w:r>
        <w:rPr>
          <w:rFonts w:hint="eastAsia"/>
          <w:color w:val="000000"/>
        </w:rPr>
        <w:t>一下至中性，满足农业种植要求，提升耕地基础地力。</w:t>
      </w:r>
    </w:p>
    <w:p>
      <w:pPr>
        <w:pStyle w:val="3"/>
        <w:rPr>
          <w:color w:val="000000"/>
        </w:rPr>
      </w:pPr>
      <w:bookmarkStart w:id="49" w:name="_Toc119750197"/>
      <w:r>
        <w:rPr>
          <w:color w:val="000000"/>
        </w:rPr>
        <w:t>5.3</w:t>
      </w:r>
      <w:r>
        <w:rPr>
          <w:rFonts w:hint="eastAsia"/>
          <w:color w:val="000000"/>
        </w:rPr>
        <w:t>重点工程</w:t>
      </w:r>
      <w:bookmarkEnd w:id="49"/>
    </w:p>
    <w:p>
      <w:pPr>
        <w:ind w:firstLine="482"/>
        <w:rPr>
          <w:rFonts w:hint="eastAsia"/>
          <w:b/>
          <w:bCs/>
          <w:color w:val="000000"/>
        </w:rPr>
      </w:pPr>
      <w:r>
        <w:rPr>
          <w:rFonts w:hint="eastAsia"/>
          <w:b/>
          <w:bCs/>
          <w:color w:val="000000"/>
        </w:rPr>
        <w:t>（一）黑土地保护利用工程</w:t>
      </w:r>
    </w:p>
    <w:p>
      <w:pPr>
        <w:ind w:firstLine="480"/>
        <w:rPr>
          <w:color w:val="000000"/>
        </w:rPr>
      </w:pPr>
      <w:r>
        <w:rPr>
          <w:rFonts w:hint="eastAsia"/>
          <w:color w:val="000000"/>
        </w:rPr>
        <w:t>白城市的黑土地主要为虽然不属于国家六部委确定的典型黑土地，但是白城市约有黑土地耕地面积约1000万亩左右，黑土地资源在保障粮食安全，保障农民收入具有不可替代性。其中镇赉，洮北，洮南和沿嫩江和洮儿河等地带分布的黑土地具有较好的黑土耕层。为实施“藏粮于地、藏粮于技”战略，2</w:t>
      </w:r>
      <w:r>
        <w:rPr>
          <w:color w:val="000000"/>
        </w:rPr>
        <w:t>021</w:t>
      </w:r>
      <w:r>
        <w:rPr>
          <w:rFonts w:hint="eastAsia"/>
          <w:color w:val="000000"/>
        </w:rPr>
        <w:t>年7月14日，中科院东北地理所与白城市政府签署共同实施“黑土粮仓”科技会战框架协议。</w:t>
      </w:r>
    </w:p>
    <w:p>
      <w:pPr>
        <w:ind w:firstLine="480"/>
        <w:rPr>
          <w:color w:val="000000"/>
        </w:rPr>
      </w:pPr>
      <w:r>
        <w:rPr>
          <w:rFonts w:hint="eastAsia"/>
          <w:color w:val="000000"/>
        </w:rPr>
        <w:t>双方协议，中科院东北地理所将重点针对吉林西部盐碱地影响农业发展的关键性问题，通过在镇赉县、大安市、洮南市、洮北区建设盐碱地治理及高效利用示范区，探索加强黑土地保护与利用，以科技集成促进粮食增产，进而推动白城农业高质高效发展，为乡村振兴打下坚实基础。</w:t>
      </w:r>
    </w:p>
    <w:p>
      <w:pPr>
        <w:ind w:firstLine="480"/>
        <w:rPr>
          <w:color w:val="000000"/>
        </w:rPr>
      </w:pPr>
      <w:r>
        <w:rPr>
          <w:rFonts w:hint="eastAsia"/>
          <w:color w:val="000000"/>
        </w:rPr>
        <w:t>2022年2月14日，白城市镇赉县人民政府与中国科学院东北地理所签署“黑土粮仓”科技会战框架协议。镇赉示范区以生态、绿色、品牌作为主攻方向，重点围绕吉宏6号、中科发5号等高产优质抗逆品种、稻蟹综合种养、绿色防控、数字农业、品牌化开展核心示范区建设，优先向示范区配置资源，通过科技会战为镇赉县由水稻种植大县向水稻种植强县的转型提供有力科技支撑。</w:t>
      </w:r>
    </w:p>
    <w:p>
      <w:pPr>
        <w:ind w:firstLine="480"/>
        <w:rPr>
          <w:color w:val="000000"/>
        </w:rPr>
      </w:pPr>
      <w:r>
        <w:rPr>
          <w:rFonts w:hint="eastAsia"/>
          <w:color w:val="000000"/>
        </w:rPr>
        <w:t>根据《吉林省黑土地保护条例》的规定，推广秸秆总合利用技术、引导扶持土地承包者、经营者实施秸秆总合利用措施、支持有机肥的使用等。</w:t>
      </w:r>
    </w:p>
    <w:p>
      <w:pPr>
        <w:ind w:firstLine="480"/>
        <w:rPr>
          <w:rFonts w:hint="eastAsia"/>
          <w:color w:val="000000"/>
        </w:rPr>
      </w:pPr>
    </w:p>
    <w:p>
      <w:pPr>
        <w:ind w:firstLine="482"/>
        <w:rPr>
          <w:rFonts w:hint="eastAsia"/>
          <w:b/>
          <w:bCs/>
          <w:color w:val="000000"/>
        </w:rPr>
      </w:pPr>
      <w:r>
        <w:rPr>
          <w:rFonts w:hint="eastAsia"/>
          <w:b/>
          <w:bCs/>
          <w:color w:val="000000"/>
        </w:rPr>
        <w:t>（二）高标准农田示范区工程</w:t>
      </w:r>
    </w:p>
    <w:p>
      <w:pPr>
        <w:ind w:firstLine="480"/>
        <w:rPr>
          <w:color w:val="000000"/>
        </w:rPr>
      </w:pPr>
      <w:r>
        <w:rPr>
          <w:rFonts w:hint="eastAsia"/>
          <w:color w:val="000000"/>
        </w:rPr>
        <w:t>针对我县农业信息化建设起步晚，基础薄等问题，按照“试点先行，示范引领”的思路，大力引进和推广先进实用工程和装备技术，进行农田建设与农机农艺技术、数字信息技术的集成与示范，打造一批土壤健康、减排固碳、生态友好、先进智能的高标准农田示范区，加快推进农业智能化建设，助推全省智慧农业发展，加速农业智能化发展进程。搭建以“农业物联网”+“农产品质量安全追溯”为核心的综合农业智能化管理平台。利用数字技术，推动农田建设、生产、管护相融合，提高全要素生产效率。重点推进物联网、大数据、移动互联网、智能控制等信息技术在农田建设中的应用，对工程建后管护和农田利用状况进行持续监测，实行水肥一体化控制等田间智能作业，配套生产物联网检测系统、管理系统、高清生产视频监控系统、生产调度中心系统等。</w:t>
      </w:r>
    </w:p>
    <w:p>
      <w:pPr>
        <w:ind w:firstLine="480"/>
        <w:rPr>
          <w:rFonts w:hint="eastAsia"/>
          <w:color w:val="000000"/>
        </w:rPr>
      </w:pPr>
      <w:r>
        <w:rPr>
          <w:rFonts w:hint="eastAsia"/>
          <w:color w:val="000000"/>
        </w:rPr>
        <w:t>下一个十年里，镇赉县不单单考虑建设内容的实用性，更向着生态、环保、现代化方向发展，所以在第二个高标准农田建设周期内，镇赉县规划建设高标准农田示范区建设项目1个，规划面积1</w:t>
      </w:r>
      <w:r>
        <w:rPr>
          <w:color w:val="000000"/>
        </w:rPr>
        <w:t>.5</w:t>
      </w:r>
      <w:r>
        <w:rPr>
          <w:rFonts w:hint="eastAsia"/>
          <w:color w:val="000000"/>
        </w:rPr>
        <w:t>万亩，建设绿色农田生态示范区1个，规划面积1万亩。各个重点项目突出了本周期内镇赉县重点建设高标准农田的三个方向，即更生态、更高效、更先进，力争打造粮食综合生产能力越来越强、粮食生产品质越来越高的基本农田。</w:t>
      </w:r>
    </w:p>
    <w:p>
      <w:pPr>
        <w:pStyle w:val="3"/>
        <w:rPr>
          <w:color w:val="000000"/>
        </w:rPr>
      </w:pPr>
      <w:bookmarkStart w:id="50" w:name="_Toc119750198"/>
      <w:r>
        <w:rPr>
          <w:color w:val="000000"/>
        </w:rPr>
        <w:t>5.4</w:t>
      </w:r>
      <w:r>
        <w:rPr>
          <w:rFonts w:hint="eastAsia"/>
          <w:color w:val="000000"/>
        </w:rPr>
        <w:t>建设任务</w:t>
      </w:r>
      <w:bookmarkEnd w:id="50"/>
    </w:p>
    <w:p>
      <w:pPr>
        <w:pStyle w:val="4"/>
        <w:rPr>
          <w:color w:val="000000"/>
        </w:rPr>
      </w:pPr>
      <w:bookmarkStart w:id="51" w:name="_Toc97667857"/>
      <w:r>
        <w:rPr>
          <w:color w:val="000000"/>
        </w:rPr>
        <w:t>5.4.1年度任务安排</w:t>
      </w:r>
      <w:bookmarkEnd w:id="51"/>
    </w:p>
    <w:p>
      <w:pPr>
        <w:ind w:firstLine="480"/>
        <w:rPr>
          <w:color w:val="000000"/>
        </w:rPr>
      </w:pPr>
      <w:r>
        <w:rPr>
          <w:rFonts w:hint="eastAsia"/>
          <w:color w:val="000000"/>
        </w:rPr>
        <w:t>为贯彻落实《全国高标准农田建设规划（2</w:t>
      </w:r>
      <w:r>
        <w:rPr>
          <w:color w:val="000000"/>
        </w:rPr>
        <w:t>021-2030</w:t>
      </w:r>
      <w:r>
        <w:rPr>
          <w:rFonts w:hint="eastAsia"/>
          <w:color w:val="000000"/>
        </w:rPr>
        <w:t>年）》精神，配合完成全省高标准农田建设目标，根据镇赉县人民政府关于《吉林省高标准农田建设规划（2</w:t>
      </w:r>
      <w:r>
        <w:rPr>
          <w:color w:val="000000"/>
        </w:rPr>
        <w:t>021-2030</w:t>
      </w:r>
      <w:r>
        <w:rPr>
          <w:rFonts w:hint="eastAsia"/>
          <w:color w:val="000000"/>
        </w:rPr>
        <w:t>年）》的通知，镇赉县高标准农田建设规划任务和镇赉县高效节水建设规划任务见表</w:t>
      </w:r>
      <w:r>
        <w:rPr>
          <w:color w:val="000000"/>
        </w:rPr>
        <w:t>5.4.1-1</w:t>
      </w:r>
      <w:r>
        <w:rPr>
          <w:rFonts w:hint="eastAsia"/>
          <w:color w:val="000000"/>
        </w:rPr>
        <w:t>、5</w:t>
      </w:r>
      <w:r>
        <w:rPr>
          <w:color w:val="000000"/>
        </w:rPr>
        <w:t>.4.1.-2</w:t>
      </w:r>
      <w:r>
        <w:rPr>
          <w:rFonts w:hint="eastAsia"/>
          <w:color w:val="000000"/>
        </w:rPr>
        <w:t>。</w:t>
      </w:r>
    </w:p>
    <w:p>
      <w:pPr>
        <w:ind w:firstLine="0" w:firstLineChars="0"/>
        <w:rPr>
          <w:b/>
          <w:bCs/>
          <w:color w:val="000000"/>
          <w:sz w:val="28"/>
          <w:szCs w:val="28"/>
        </w:rPr>
      </w:pPr>
      <w:r>
        <w:rPr>
          <w:rFonts w:hint="eastAsia"/>
          <w:b/>
          <w:bCs/>
          <w:color w:val="000000"/>
        </w:rPr>
        <w:t>表</w:t>
      </w:r>
      <w:r>
        <w:rPr>
          <w:b/>
          <w:bCs/>
          <w:color w:val="000000"/>
        </w:rPr>
        <w:t xml:space="preserve">5.4.1-1              </w:t>
      </w:r>
      <w:r>
        <w:rPr>
          <w:rFonts w:hint="eastAsia"/>
          <w:b/>
          <w:bCs/>
          <w:color w:val="000000"/>
        </w:rPr>
        <w:t>镇赉县高标准农田建设规划任务表</w:t>
      </w:r>
    </w:p>
    <w:p>
      <w:pPr>
        <w:spacing w:line="240" w:lineRule="auto"/>
        <w:ind w:right="210" w:firstLine="482"/>
        <w:jc w:val="right"/>
        <w:rPr>
          <w:rFonts w:hint="eastAsia"/>
          <w:b/>
          <w:bCs/>
          <w:color w:val="000000"/>
        </w:rPr>
      </w:pPr>
      <w:r>
        <w:rPr>
          <w:rFonts w:hint="eastAsia"/>
          <w:b/>
          <w:bCs/>
          <w:color w:val="000000"/>
        </w:rPr>
        <w:t>单位：万亩</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1801"/>
        <w:gridCol w:w="1801"/>
        <w:gridCol w:w="1801"/>
        <w:gridCol w:w="18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行政区名称</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到2025年累计建成面积</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到2025年累计改造提升面积</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到2030年累计建成面积</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到2030年累计改造提升面积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800"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镇赉县</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219.8</w:t>
            </w:r>
            <w:r>
              <w:rPr>
                <w:rFonts w:ascii="宋体" w:hAnsi="宋体" w:cs="宋体"/>
                <w:b/>
                <w:bCs/>
                <w:snapToGrid/>
                <w:color w:val="000000"/>
                <w:sz w:val="21"/>
                <w:szCs w:val="21"/>
              </w:rPr>
              <w:t>1</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12.00</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256.8</w:t>
            </w:r>
            <w:r>
              <w:rPr>
                <w:rFonts w:ascii="宋体" w:hAnsi="宋体" w:cs="宋体"/>
                <w:b/>
                <w:bCs/>
                <w:snapToGrid/>
                <w:color w:val="000000"/>
                <w:sz w:val="21"/>
                <w:szCs w:val="21"/>
              </w:rPr>
              <w:t>1</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42.00</w:t>
            </w:r>
          </w:p>
        </w:tc>
      </w:tr>
    </w:tbl>
    <w:p>
      <w:pPr>
        <w:ind w:firstLine="482"/>
        <w:rPr>
          <w:b/>
          <w:bCs/>
          <w:color w:val="000000"/>
        </w:rPr>
      </w:pPr>
    </w:p>
    <w:p>
      <w:pPr>
        <w:ind w:firstLine="482"/>
        <w:rPr>
          <w:rFonts w:hint="eastAsia"/>
          <w:b/>
          <w:bCs/>
          <w:color w:val="000000"/>
        </w:rPr>
      </w:pPr>
    </w:p>
    <w:p>
      <w:pPr>
        <w:ind w:firstLine="0" w:firstLineChars="0"/>
        <w:rPr>
          <w:b/>
          <w:bCs/>
          <w:color w:val="000000"/>
        </w:rPr>
      </w:pPr>
      <w:r>
        <w:rPr>
          <w:rFonts w:hint="eastAsia"/>
          <w:b/>
          <w:bCs/>
          <w:color w:val="000000"/>
        </w:rPr>
        <w:t>表</w:t>
      </w:r>
      <w:r>
        <w:rPr>
          <w:b/>
          <w:bCs/>
          <w:color w:val="000000"/>
        </w:rPr>
        <w:t xml:space="preserve">5.4.1-2                </w:t>
      </w:r>
      <w:r>
        <w:rPr>
          <w:rFonts w:hint="eastAsia"/>
          <w:b/>
          <w:bCs/>
          <w:color w:val="000000"/>
        </w:rPr>
        <w:t>镇赉县高效节水建设规划任务表</w:t>
      </w:r>
    </w:p>
    <w:p>
      <w:pPr>
        <w:spacing w:line="240" w:lineRule="auto"/>
        <w:ind w:right="210" w:firstLine="482"/>
        <w:jc w:val="right"/>
        <w:rPr>
          <w:rFonts w:hint="eastAsia"/>
          <w:b/>
          <w:bCs/>
          <w:color w:val="000000"/>
        </w:rPr>
      </w:pPr>
      <w:r>
        <w:rPr>
          <w:rFonts w:hint="eastAsia"/>
          <w:b/>
          <w:bCs/>
          <w:color w:val="000000"/>
        </w:rPr>
        <w:t>单位：万亩</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5"/>
        <w:gridCol w:w="2977"/>
        <w:gridCol w:w="2251"/>
        <w:gridCol w:w="22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7"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行政区名称</w:t>
            </w:r>
          </w:p>
        </w:tc>
        <w:tc>
          <w:tcPr>
            <w:tcW w:w="1653"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2021-2030年新增高效节水灌溉面积</w:t>
            </w:r>
          </w:p>
        </w:tc>
        <w:tc>
          <w:tcPr>
            <w:tcW w:w="1250"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其中，2021-2025年新增高效节水灌溉面积</w:t>
            </w:r>
          </w:p>
        </w:tc>
        <w:tc>
          <w:tcPr>
            <w:tcW w:w="1250"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其中，2026-2030年新增高效节水灌溉面积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47"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镇赉县</w:t>
            </w:r>
          </w:p>
        </w:tc>
        <w:tc>
          <w:tcPr>
            <w:tcW w:w="1653"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ascii="宋体" w:hAnsi="宋体" w:cs="宋体"/>
                <w:b/>
                <w:bCs/>
                <w:snapToGrid/>
                <w:color w:val="000000"/>
                <w:sz w:val="21"/>
                <w:szCs w:val="21"/>
              </w:rPr>
              <w:t>37.5</w:t>
            </w:r>
          </w:p>
        </w:tc>
        <w:tc>
          <w:tcPr>
            <w:tcW w:w="1250"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1</w:t>
            </w:r>
            <w:r>
              <w:rPr>
                <w:rFonts w:ascii="宋体" w:hAnsi="宋体" w:cs="宋体"/>
                <w:b/>
                <w:bCs/>
                <w:snapToGrid/>
                <w:color w:val="000000"/>
                <w:sz w:val="21"/>
                <w:szCs w:val="21"/>
              </w:rPr>
              <w:t>3.5</w:t>
            </w:r>
          </w:p>
        </w:tc>
        <w:tc>
          <w:tcPr>
            <w:tcW w:w="1250"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w:t>
            </w:r>
            <w:r>
              <w:rPr>
                <w:rFonts w:ascii="宋体" w:hAnsi="宋体" w:cs="宋体"/>
                <w:b/>
                <w:bCs/>
                <w:snapToGrid/>
                <w:color w:val="000000"/>
                <w:sz w:val="21"/>
                <w:szCs w:val="21"/>
              </w:rPr>
              <w:t>4</w:t>
            </w:r>
            <w:r>
              <w:rPr>
                <w:rFonts w:hint="eastAsia" w:ascii="宋体" w:hAnsi="宋体" w:cs="宋体"/>
                <w:b/>
                <w:bCs/>
                <w:snapToGrid/>
                <w:color w:val="000000"/>
                <w:sz w:val="21"/>
                <w:szCs w:val="21"/>
              </w:rPr>
              <w:t>.00</w:t>
            </w:r>
          </w:p>
        </w:tc>
      </w:tr>
    </w:tbl>
    <w:p>
      <w:pPr>
        <w:ind w:firstLine="199" w:firstLineChars="83"/>
        <w:rPr>
          <w:rFonts w:hint="eastAsia"/>
          <w:color w:val="000000"/>
        </w:rPr>
      </w:pPr>
    </w:p>
    <w:p>
      <w:pPr>
        <w:ind w:firstLine="480"/>
        <w:rPr>
          <w:color w:val="000000"/>
        </w:rPr>
      </w:pPr>
      <w:r>
        <w:rPr>
          <w:rFonts w:hint="eastAsia"/>
          <w:color w:val="000000"/>
        </w:rPr>
        <w:t>镇赉县已建设高标准农田</w:t>
      </w:r>
      <w:r>
        <w:rPr>
          <w:color w:val="000000"/>
        </w:rPr>
        <w:t>165.40</w:t>
      </w:r>
      <w:r>
        <w:rPr>
          <w:rFonts w:hint="eastAsia"/>
          <w:color w:val="000000"/>
        </w:rPr>
        <w:t>万亩。剩余耕地总量</w:t>
      </w:r>
      <w:r>
        <w:rPr>
          <w:color w:val="000000"/>
        </w:rPr>
        <w:t>231.23万亩</w:t>
      </w:r>
      <w:r>
        <w:rPr>
          <w:rFonts w:hint="eastAsia"/>
          <w:color w:val="000000"/>
        </w:rPr>
        <w:t>，我县2</w:t>
      </w:r>
      <w:r>
        <w:rPr>
          <w:color w:val="000000"/>
        </w:rPr>
        <w:t>021-2030</w:t>
      </w:r>
      <w:r>
        <w:rPr>
          <w:rFonts w:hint="eastAsia"/>
          <w:color w:val="000000"/>
        </w:rPr>
        <w:t>年新建高标准农田面积为9</w:t>
      </w:r>
      <w:r>
        <w:rPr>
          <w:color w:val="000000"/>
        </w:rPr>
        <w:t>1.41</w:t>
      </w:r>
      <w:r>
        <w:rPr>
          <w:rFonts w:hint="eastAsia"/>
          <w:color w:val="000000"/>
        </w:rPr>
        <w:t>万亩。2</w:t>
      </w:r>
      <w:r>
        <w:rPr>
          <w:color w:val="000000"/>
        </w:rPr>
        <w:t>021-</w:t>
      </w:r>
      <w:r>
        <w:rPr>
          <w:rFonts w:hint="eastAsia"/>
          <w:color w:val="000000"/>
        </w:rPr>
        <w:t>2025年新建高标农田面积54.41万亩，2</w:t>
      </w:r>
      <w:r>
        <w:rPr>
          <w:color w:val="000000"/>
        </w:rPr>
        <w:t>025-</w:t>
      </w:r>
      <w:r>
        <w:rPr>
          <w:rFonts w:hint="eastAsia"/>
          <w:color w:val="000000"/>
        </w:rPr>
        <w:t>20</w:t>
      </w:r>
      <w:r>
        <w:rPr>
          <w:color w:val="000000"/>
        </w:rPr>
        <w:t>30</w:t>
      </w:r>
      <w:r>
        <w:rPr>
          <w:rFonts w:hint="eastAsia"/>
          <w:color w:val="000000"/>
        </w:rPr>
        <w:t>年新建高标农田面积</w:t>
      </w:r>
      <w:r>
        <w:rPr>
          <w:color w:val="000000"/>
        </w:rPr>
        <w:t>37.00</w:t>
      </w:r>
      <w:r>
        <w:rPr>
          <w:rFonts w:hint="eastAsia"/>
          <w:color w:val="000000"/>
        </w:rPr>
        <w:t>万亩；我县2</w:t>
      </w:r>
      <w:r>
        <w:rPr>
          <w:color w:val="000000"/>
        </w:rPr>
        <w:t>021-2030</w:t>
      </w:r>
      <w:r>
        <w:rPr>
          <w:rFonts w:hint="eastAsia"/>
          <w:color w:val="000000"/>
        </w:rPr>
        <w:t>年改造提升面积为</w:t>
      </w:r>
      <w:r>
        <w:rPr>
          <w:color w:val="000000"/>
        </w:rPr>
        <w:t>42</w:t>
      </w:r>
      <w:r>
        <w:rPr>
          <w:rFonts w:hint="eastAsia"/>
          <w:color w:val="000000"/>
        </w:rPr>
        <w:t>万亩。2</w:t>
      </w:r>
      <w:r>
        <w:rPr>
          <w:color w:val="000000"/>
        </w:rPr>
        <w:t>021-</w:t>
      </w:r>
      <w:r>
        <w:rPr>
          <w:rFonts w:hint="eastAsia"/>
          <w:color w:val="000000"/>
        </w:rPr>
        <w:t>2025年改造提升面积为</w:t>
      </w:r>
      <w:r>
        <w:rPr>
          <w:color w:val="000000"/>
        </w:rPr>
        <w:t>12</w:t>
      </w:r>
      <w:r>
        <w:rPr>
          <w:rFonts w:hint="eastAsia"/>
          <w:color w:val="000000"/>
        </w:rPr>
        <w:t>万亩，2</w:t>
      </w:r>
      <w:r>
        <w:rPr>
          <w:color w:val="000000"/>
        </w:rPr>
        <w:t>025-</w:t>
      </w:r>
      <w:r>
        <w:rPr>
          <w:rFonts w:hint="eastAsia"/>
          <w:color w:val="000000"/>
        </w:rPr>
        <w:t>20</w:t>
      </w:r>
      <w:r>
        <w:rPr>
          <w:color w:val="000000"/>
        </w:rPr>
        <w:t>30</w:t>
      </w:r>
      <w:r>
        <w:rPr>
          <w:rFonts w:hint="eastAsia"/>
          <w:color w:val="000000"/>
        </w:rPr>
        <w:t>年改造提升面积为</w:t>
      </w:r>
      <w:r>
        <w:rPr>
          <w:color w:val="000000"/>
        </w:rPr>
        <w:t>30</w:t>
      </w:r>
      <w:r>
        <w:rPr>
          <w:rFonts w:hint="eastAsia"/>
          <w:color w:val="000000"/>
        </w:rPr>
        <w:t>万亩；其中2021-2030年新增高效节水灌溉面积</w:t>
      </w:r>
      <w:r>
        <w:rPr>
          <w:color w:val="000000"/>
        </w:rPr>
        <w:t>37.5</w:t>
      </w:r>
      <w:r>
        <w:rPr>
          <w:rFonts w:hint="eastAsia"/>
          <w:color w:val="000000"/>
        </w:rPr>
        <w:t>万亩。其中2</w:t>
      </w:r>
      <w:r>
        <w:rPr>
          <w:color w:val="000000"/>
        </w:rPr>
        <w:t>021-</w:t>
      </w:r>
      <w:r>
        <w:rPr>
          <w:rFonts w:hint="eastAsia"/>
          <w:color w:val="000000"/>
        </w:rPr>
        <w:t>2025年新增高效节水灌溉面积</w:t>
      </w:r>
      <w:r>
        <w:rPr>
          <w:color w:val="000000"/>
        </w:rPr>
        <w:t>13.5</w:t>
      </w:r>
      <w:r>
        <w:rPr>
          <w:rFonts w:hint="eastAsia"/>
          <w:color w:val="000000"/>
        </w:rPr>
        <w:t>万亩，2</w:t>
      </w:r>
      <w:r>
        <w:rPr>
          <w:color w:val="000000"/>
        </w:rPr>
        <w:t>025-</w:t>
      </w:r>
      <w:r>
        <w:rPr>
          <w:rFonts w:hint="eastAsia"/>
          <w:color w:val="000000"/>
        </w:rPr>
        <w:t>20</w:t>
      </w:r>
      <w:r>
        <w:rPr>
          <w:color w:val="000000"/>
        </w:rPr>
        <w:t>30</w:t>
      </w:r>
      <w:r>
        <w:rPr>
          <w:rFonts w:hint="eastAsia"/>
          <w:color w:val="000000"/>
        </w:rPr>
        <w:t>年新增高效节水灌溉面积</w:t>
      </w:r>
      <w:r>
        <w:rPr>
          <w:color w:val="000000"/>
        </w:rPr>
        <w:t>24.00</w:t>
      </w:r>
      <w:r>
        <w:rPr>
          <w:rFonts w:hint="eastAsia"/>
          <w:color w:val="000000"/>
        </w:rPr>
        <w:t>万亩。</w:t>
      </w:r>
    </w:p>
    <w:p>
      <w:pPr>
        <w:ind w:firstLine="0" w:firstLineChars="0"/>
        <w:rPr>
          <w:b/>
          <w:bCs/>
          <w:color w:val="000000"/>
          <w:sz w:val="28"/>
          <w:szCs w:val="28"/>
        </w:rPr>
      </w:pPr>
      <w:r>
        <w:rPr>
          <w:rFonts w:hint="eastAsia"/>
          <w:b/>
          <w:bCs/>
          <w:color w:val="000000"/>
        </w:rPr>
        <w:t>表</w:t>
      </w:r>
      <w:r>
        <w:rPr>
          <w:b/>
          <w:bCs/>
          <w:color w:val="000000"/>
        </w:rPr>
        <w:t xml:space="preserve">5.4.1-3             </w:t>
      </w:r>
      <w:r>
        <w:rPr>
          <w:rFonts w:hint="eastAsia"/>
          <w:b/>
          <w:bCs/>
          <w:color w:val="000000"/>
        </w:rPr>
        <w:t>2</w:t>
      </w:r>
      <w:r>
        <w:rPr>
          <w:b/>
          <w:bCs/>
          <w:color w:val="000000"/>
        </w:rPr>
        <w:t>021-2030</w:t>
      </w:r>
      <w:r>
        <w:rPr>
          <w:rFonts w:hint="eastAsia"/>
          <w:b/>
          <w:bCs/>
          <w:color w:val="000000"/>
        </w:rPr>
        <w:t>年镇赉县高标准农田建设任务</w:t>
      </w:r>
    </w:p>
    <w:p>
      <w:pPr>
        <w:spacing w:line="240" w:lineRule="auto"/>
        <w:ind w:right="210" w:firstLine="482"/>
        <w:jc w:val="right"/>
        <w:rPr>
          <w:rFonts w:hint="eastAsia"/>
          <w:b/>
          <w:bCs/>
          <w:color w:val="000000"/>
        </w:rPr>
      </w:pPr>
      <w:r>
        <w:rPr>
          <w:rFonts w:hint="eastAsia"/>
          <w:b/>
          <w:bCs/>
          <w:color w:val="000000"/>
        </w:rPr>
        <w:t>单位：万亩</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1801"/>
        <w:gridCol w:w="1801"/>
        <w:gridCol w:w="1801"/>
        <w:gridCol w:w="18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行政区名称</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w:t>
            </w:r>
            <w:r>
              <w:rPr>
                <w:rFonts w:ascii="宋体" w:hAnsi="宋体" w:cs="宋体"/>
                <w:b/>
                <w:bCs/>
                <w:snapToGrid/>
                <w:color w:val="000000"/>
                <w:sz w:val="21"/>
                <w:szCs w:val="21"/>
              </w:rPr>
              <w:t>021-</w:t>
            </w:r>
            <w:r>
              <w:rPr>
                <w:rFonts w:hint="eastAsia" w:ascii="宋体" w:hAnsi="宋体" w:cs="宋体"/>
                <w:b/>
                <w:bCs/>
                <w:snapToGrid/>
                <w:color w:val="000000"/>
                <w:sz w:val="21"/>
                <w:szCs w:val="21"/>
              </w:rPr>
              <w:t>2025年新建面积</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w:t>
            </w:r>
            <w:r>
              <w:rPr>
                <w:rFonts w:ascii="宋体" w:hAnsi="宋体" w:cs="宋体"/>
                <w:b/>
                <w:bCs/>
                <w:snapToGrid/>
                <w:color w:val="000000"/>
                <w:sz w:val="21"/>
                <w:szCs w:val="21"/>
              </w:rPr>
              <w:t>021-</w:t>
            </w:r>
            <w:r>
              <w:rPr>
                <w:rFonts w:hint="eastAsia" w:ascii="宋体" w:hAnsi="宋体" w:cs="宋体"/>
                <w:b/>
                <w:bCs/>
                <w:snapToGrid/>
                <w:color w:val="000000"/>
                <w:sz w:val="21"/>
                <w:szCs w:val="21"/>
              </w:rPr>
              <w:t>2025年改造提升面积</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w:t>
            </w:r>
            <w:r>
              <w:rPr>
                <w:rFonts w:ascii="宋体" w:hAnsi="宋体" w:cs="宋体"/>
                <w:b/>
                <w:bCs/>
                <w:snapToGrid/>
                <w:color w:val="000000"/>
                <w:sz w:val="21"/>
                <w:szCs w:val="21"/>
              </w:rPr>
              <w:t>025-</w:t>
            </w:r>
            <w:r>
              <w:rPr>
                <w:rFonts w:hint="eastAsia" w:ascii="宋体" w:hAnsi="宋体" w:cs="宋体"/>
                <w:b/>
                <w:bCs/>
                <w:snapToGrid/>
                <w:color w:val="000000"/>
                <w:sz w:val="21"/>
                <w:szCs w:val="21"/>
              </w:rPr>
              <w:t>2030年建成面积</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w:t>
            </w:r>
            <w:r>
              <w:rPr>
                <w:rFonts w:ascii="宋体" w:hAnsi="宋体" w:cs="宋体"/>
                <w:b/>
                <w:bCs/>
                <w:snapToGrid/>
                <w:color w:val="000000"/>
                <w:sz w:val="21"/>
                <w:szCs w:val="21"/>
              </w:rPr>
              <w:t>025-</w:t>
            </w:r>
            <w:r>
              <w:rPr>
                <w:rFonts w:hint="eastAsia" w:ascii="宋体" w:hAnsi="宋体" w:cs="宋体"/>
                <w:b/>
                <w:bCs/>
                <w:snapToGrid/>
                <w:color w:val="000000"/>
                <w:sz w:val="21"/>
                <w:szCs w:val="21"/>
              </w:rPr>
              <w:t>2030年改造提升面积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800"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镇赉县</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ascii="宋体" w:hAnsi="宋体" w:cs="宋体"/>
                <w:b/>
                <w:bCs/>
                <w:snapToGrid/>
                <w:color w:val="000000"/>
                <w:sz w:val="21"/>
                <w:szCs w:val="21"/>
              </w:rPr>
              <w:t>54.41</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12.00</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ascii="宋体" w:hAnsi="宋体" w:cs="宋体"/>
                <w:b/>
                <w:bCs/>
                <w:snapToGrid/>
                <w:color w:val="000000"/>
                <w:sz w:val="21"/>
                <w:szCs w:val="21"/>
              </w:rPr>
              <w:t>37</w:t>
            </w:r>
          </w:p>
        </w:tc>
        <w:tc>
          <w:tcPr>
            <w:tcW w:w="1801" w:type="dxa"/>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ascii="宋体" w:hAnsi="宋体" w:cs="宋体"/>
                <w:b/>
                <w:bCs/>
                <w:snapToGrid/>
                <w:color w:val="000000"/>
                <w:sz w:val="21"/>
                <w:szCs w:val="21"/>
              </w:rPr>
              <w:t>30</w:t>
            </w:r>
            <w:r>
              <w:rPr>
                <w:rFonts w:hint="eastAsia" w:ascii="宋体" w:hAnsi="宋体" w:cs="宋体"/>
                <w:b/>
                <w:bCs/>
                <w:snapToGrid/>
                <w:color w:val="000000"/>
                <w:sz w:val="21"/>
                <w:szCs w:val="21"/>
              </w:rPr>
              <w:t>.00</w:t>
            </w:r>
          </w:p>
        </w:tc>
      </w:tr>
    </w:tbl>
    <w:p>
      <w:pPr>
        <w:ind w:firstLine="482"/>
        <w:rPr>
          <w:b/>
          <w:bCs/>
          <w:color w:val="000000"/>
        </w:rPr>
      </w:pPr>
    </w:p>
    <w:p>
      <w:pPr>
        <w:ind w:firstLine="0" w:firstLineChars="0"/>
        <w:rPr>
          <w:b/>
          <w:bCs/>
          <w:color w:val="000000"/>
        </w:rPr>
      </w:pPr>
      <w:r>
        <w:rPr>
          <w:rFonts w:hint="eastAsia"/>
          <w:b/>
          <w:bCs/>
          <w:color w:val="000000"/>
        </w:rPr>
        <w:t>表</w:t>
      </w:r>
      <w:r>
        <w:rPr>
          <w:b/>
          <w:bCs/>
          <w:color w:val="000000"/>
        </w:rPr>
        <w:t xml:space="preserve">5.4.1-4           </w:t>
      </w:r>
      <w:r>
        <w:rPr>
          <w:rFonts w:hint="eastAsia"/>
          <w:b/>
          <w:bCs/>
          <w:color w:val="000000"/>
        </w:rPr>
        <w:t>2021-2030年镇赉县新增高效节水灌溉任务表</w:t>
      </w:r>
    </w:p>
    <w:p>
      <w:pPr>
        <w:spacing w:line="240" w:lineRule="auto"/>
        <w:ind w:right="210" w:firstLine="482"/>
        <w:jc w:val="right"/>
        <w:rPr>
          <w:rFonts w:hint="eastAsia"/>
          <w:b/>
          <w:bCs/>
          <w:color w:val="000000"/>
        </w:rPr>
      </w:pPr>
      <w:r>
        <w:rPr>
          <w:rFonts w:hint="eastAsia"/>
          <w:b/>
          <w:bCs/>
          <w:color w:val="000000"/>
        </w:rPr>
        <w:t>单位：万亩</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5"/>
        <w:gridCol w:w="2977"/>
        <w:gridCol w:w="2251"/>
        <w:gridCol w:w="22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7"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行政区名称</w:t>
            </w:r>
          </w:p>
        </w:tc>
        <w:tc>
          <w:tcPr>
            <w:tcW w:w="1653"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2021-2030年新增高效节水灌溉面积</w:t>
            </w:r>
          </w:p>
        </w:tc>
        <w:tc>
          <w:tcPr>
            <w:tcW w:w="1250"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其中，2021-2025年新增高效节水灌溉面积</w:t>
            </w:r>
          </w:p>
        </w:tc>
        <w:tc>
          <w:tcPr>
            <w:tcW w:w="1250"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其中，2026-2030年新增高效节水灌溉面积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47"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镇赉县</w:t>
            </w:r>
          </w:p>
        </w:tc>
        <w:tc>
          <w:tcPr>
            <w:tcW w:w="1653"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ascii="宋体" w:hAnsi="宋体" w:cs="宋体"/>
                <w:b/>
                <w:bCs/>
                <w:snapToGrid/>
                <w:color w:val="000000"/>
                <w:sz w:val="21"/>
                <w:szCs w:val="21"/>
              </w:rPr>
              <w:t>37.5</w:t>
            </w:r>
          </w:p>
        </w:tc>
        <w:tc>
          <w:tcPr>
            <w:tcW w:w="1250"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1</w:t>
            </w:r>
            <w:r>
              <w:rPr>
                <w:rFonts w:ascii="宋体" w:hAnsi="宋体" w:cs="宋体"/>
                <w:b/>
                <w:bCs/>
                <w:snapToGrid/>
                <w:color w:val="000000"/>
                <w:sz w:val="21"/>
                <w:szCs w:val="21"/>
              </w:rPr>
              <w:t>3.5</w:t>
            </w:r>
          </w:p>
        </w:tc>
        <w:tc>
          <w:tcPr>
            <w:tcW w:w="1250"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2</w:t>
            </w:r>
            <w:r>
              <w:rPr>
                <w:rFonts w:ascii="宋体" w:hAnsi="宋体" w:cs="宋体"/>
                <w:b/>
                <w:bCs/>
                <w:snapToGrid/>
                <w:color w:val="000000"/>
                <w:sz w:val="21"/>
                <w:szCs w:val="21"/>
              </w:rPr>
              <w:t>4</w:t>
            </w:r>
            <w:r>
              <w:rPr>
                <w:rFonts w:hint="eastAsia" w:ascii="宋体" w:hAnsi="宋体" w:cs="宋体"/>
                <w:b/>
                <w:bCs/>
                <w:snapToGrid/>
                <w:color w:val="000000"/>
                <w:sz w:val="21"/>
                <w:szCs w:val="21"/>
              </w:rPr>
              <w:t>.00</w:t>
            </w:r>
          </w:p>
        </w:tc>
      </w:tr>
    </w:tbl>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rFonts w:hint="eastAsia"/>
          <w:color w:val="000000"/>
        </w:rPr>
      </w:pPr>
    </w:p>
    <w:p>
      <w:pPr>
        <w:ind w:firstLine="480"/>
        <w:rPr>
          <w:color w:val="000000"/>
        </w:rPr>
      </w:pPr>
    </w:p>
    <w:p>
      <w:pPr>
        <w:ind w:firstLine="480"/>
        <w:rPr>
          <w:color w:val="000000"/>
        </w:rPr>
      </w:pPr>
    </w:p>
    <w:p>
      <w:pPr>
        <w:ind w:firstLine="480"/>
        <w:rPr>
          <w:color w:val="000000"/>
        </w:rPr>
      </w:pPr>
    </w:p>
    <w:p>
      <w:pPr>
        <w:ind w:firstLine="480"/>
        <w:rPr>
          <w:rFonts w:hint="eastAsia"/>
          <w:color w:val="000000"/>
        </w:rPr>
      </w:pPr>
    </w:p>
    <w:p>
      <w:pPr>
        <w:ind w:firstLine="0" w:firstLineChars="0"/>
        <w:rPr>
          <w:b/>
          <w:bCs/>
          <w:color w:val="000000"/>
        </w:rPr>
      </w:pPr>
      <w:r>
        <w:rPr>
          <w:rFonts w:hint="eastAsia"/>
          <w:b/>
          <w:bCs/>
          <w:color w:val="000000"/>
        </w:rPr>
        <w:t>表</w:t>
      </w:r>
      <w:r>
        <w:rPr>
          <w:b/>
          <w:bCs/>
          <w:color w:val="000000"/>
        </w:rPr>
        <w:t xml:space="preserve">5.4.1-5     </w:t>
      </w:r>
      <w:r>
        <w:rPr>
          <w:rFonts w:hint="eastAsia"/>
          <w:b/>
          <w:bCs/>
          <w:color w:val="000000"/>
        </w:rPr>
        <w:t>镇赉县2</w:t>
      </w:r>
      <w:r>
        <w:rPr>
          <w:b/>
          <w:bCs/>
          <w:color w:val="000000"/>
        </w:rPr>
        <w:t>021-2030</w:t>
      </w:r>
      <w:r>
        <w:rPr>
          <w:rFonts w:hint="eastAsia"/>
          <w:b/>
          <w:bCs/>
          <w:color w:val="000000"/>
        </w:rPr>
        <w:t>年高标准农田建设任务情况表（分年度）</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81"/>
        <w:gridCol w:w="1729"/>
        <w:gridCol w:w="1547"/>
        <w:gridCol w:w="2118"/>
        <w:gridCol w:w="1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045" w:type="pct"/>
            <w:noWrap/>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年度</w:t>
            </w:r>
          </w:p>
        </w:tc>
        <w:tc>
          <w:tcPr>
            <w:tcW w:w="1819" w:type="pct"/>
            <w:gridSpan w:val="2"/>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计划新建高标准农田面积（万亩）</w:t>
            </w:r>
          </w:p>
        </w:tc>
        <w:tc>
          <w:tcPr>
            <w:tcW w:w="2136" w:type="pct"/>
            <w:gridSpan w:val="2"/>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计划改造高标准农田面积（万亩）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bookmarkStart w:id="52" w:name="_Hlk104143339"/>
            <w:r>
              <w:rPr>
                <w:rFonts w:hint="eastAsia" w:ascii="宋体" w:hAnsi="宋体" w:cs="宋体"/>
                <w:b/>
                <w:bCs/>
                <w:snapToGrid/>
                <w:color w:val="000000"/>
                <w:sz w:val="21"/>
                <w:szCs w:val="21"/>
              </w:rPr>
              <w:t>2021年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18.03</w:t>
            </w:r>
          </w:p>
        </w:tc>
        <w:tc>
          <w:tcPr>
            <w:tcW w:w="859" w:type="pct"/>
            <w:vMerge w:val="restart"/>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54.41</w:t>
            </w:r>
          </w:p>
          <w:p>
            <w:pPr>
              <w:widowControl/>
              <w:adjustRightInd/>
              <w:snapToGrid/>
              <w:spacing w:line="240" w:lineRule="auto"/>
              <w:ind w:firstLine="0" w:firstLineChars="0"/>
              <w:jc w:val="center"/>
              <w:rPr>
                <w:rFonts w:hint="eastAsia" w:ascii="宋体" w:hAnsi="宋体" w:cs="宋体"/>
                <w:snapToGrid/>
                <w:color w:val="000000"/>
                <w:sz w:val="21"/>
                <w:szCs w:val="21"/>
              </w:rPr>
            </w:pP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w:t>
            </w:r>
          </w:p>
        </w:tc>
        <w:tc>
          <w:tcPr>
            <w:tcW w:w="960" w:type="pct"/>
            <w:vMerge w:val="restar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highlight w:val="yellow"/>
              </w:rPr>
            </w:pPr>
            <w:r>
              <w:rPr>
                <w:rFonts w:hint="eastAsia" w:ascii="宋体" w:hAnsi="宋体" w:cs="宋体"/>
                <w:b/>
                <w:bCs/>
                <w:snapToGrid/>
                <w:color w:val="000000"/>
                <w:sz w:val="21"/>
                <w:szCs w:val="21"/>
              </w:rPr>
              <w:t>2022年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23.00</w:t>
            </w:r>
          </w:p>
        </w:tc>
        <w:tc>
          <w:tcPr>
            <w:tcW w:w="859"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w:t>
            </w:r>
          </w:p>
        </w:tc>
        <w:tc>
          <w:tcPr>
            <w:tcW w:w="960"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2023年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4.86</w:t>
            </w:r>
          </w:p>
        </w:tc>
        <w:tc>
          <w:tcPr>
            <w:tcW w:w="859"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4</w:t>
            </w:r>
          </w:p>
        </w:tc>
        <w:tc>
          <w:tcPr>
            <w:tcW w:w="960"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2024年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5.15</w:t>
            </w:r>
          </w:p>
        </w:tc>
        <w:tc>
          <w:tcPr>
            <w:tcW w:w="859"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4</w:t>
            </w:r>
          </w:p>
        </w:tc>
        <w:tc>
          <w:tcPr>
            <w:tcW w:w="960"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2025年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3.37</w:t>
            </w:r>
          </w:p>
        </w:tc>
        <w:tc>
          <w:tcPr>
            <w:tcW w:w="859"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4</w:t>
            </w:r>
          </w:p>
        </w:tc>
        <w:tc>
          <w:tcPr>
            <w:tcW w:w="960"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2026年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7.07</w:t>
            </w:r>
          </w:p>
        </w:tc>
        <w:tc>
          <w:tcPr>
            <w:tcW w:w="859" w:type="pct"/>
            <w:vMerge w:val="restar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37</w:t>
            </w: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8</w:t>
            </w:r>
          </w:p>
        </w:tc>
        <w:tc>
          <w:tcPr>
            <w:tcW w:w="960" w:type="pct"/>
            <w:vMerge w:val="restar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2027年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8</w:t>
            </w:r>
          </w:p>
        </w:tc>
        <w:tc>
          <w:tcPr>
            <w:tcW w:w="859"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6</w:t>
            </w:r>
          </w:p>
        </w:tc>
        <w:tc>
          <w:tcPr>
            <w:tcW w:w="960"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2028年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8</w:t>
            </w:r>
          </w:p>
        </w:tc>
        <w:tc>
          <w:tcPr>
            <w:tcW w:w="859"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6</w:t>
            </w:r>
          </w:p>
        </w:tc>
        <w:tc>
          <w:tcPr>
            <w:tcW w:w="960"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2029年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8.93</w:t>
            </w:r>
          </w:p>
        </w:tc>
        <w:tc>
          <w:tcPr>
            <w:tcW w:w="859"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6</w:t>
            </w:r>
          </w:p>
        </w:tc>
        <w:tc>
          <w:tcPr>
            <w:tcW w:w="960"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2030年</w:t>
            </w:r>
          </w:p>
        </w:tc>
        <w:tc>
          <w:tcPr>
            <w:tcW w:w="960"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5</w:t>
            </w:r>
          </w:p>
        </w:tc>
        <w:tc>
          <w:tcPr>
            <w:tcW w:w="859"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1176"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4</w:t>
            </w:r>
          </w:p>
        </w:tc>
        <w:tc>
          <w:tcPr>
            <w:tcW w:w="960" w:type="pct"/>
            <w:vMerge w:val="continue"/>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r>
      <w:bookmarkEnd w:id="52"/>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45"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合计</w:t>
            </w:r>
          </w:p>
        </w:tc>
        <w:tc>
          <w:tcPr>
            <w:tcW w:w="1819" w:type="pct"/>
            <w:gridSpan w:val="2"/>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b/>
                <w:bCs/>
                <w:color w:val="000000"/>
                <w:sz w:val="21"/>
                <w:szCs w:val="21"/>
              </w:rPr>
              <w:t>91.41</w:t>
            </w:r>
          </w:p>
        </w:tc>
        <w:tc>
          <w:tcPr>
            <w:tcW w:w="2136" w:type="pct"/>
            <w:gridSpan w:val="2"/>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b/>
                <w:bCs/>
                <w:color w:val="000000"/>
                <w:sz w:val="21"/>
                <w:szCs w:val="21"/>
              </w:rPr>
              <w:t>42</w:t>
            </w:r>
          </w:p>
        </w:tc>
      </w:tr>
    </w:tbl>
    <w:p>
      <w:pPr>
        <w:ind w:firstLine="0" w:firstLineChars="0"/>
        <w:rPr>
          <w:color w:val="000000"/>
        </w:rPr>
      </w:pPr>
    </w:p>
    <w:p>
      <w:pPr>
        <w:ind w:firstLine="0" w:firstLineChars="0"/>
        <w:rPr>
          <w:b/>
          <w:bCs/>
          <w:color w:val="000000"/>
        </w:rPr>
      </w:pPr>
      <w:r>
        <w:rPr>
          <w:rFonts w:hint="eastAsia"/>
          <w:b/>
          <w:bCs/>
          <w:color w:val="000000"/>
        </w:rPr>
        <w:t>表</w:t>
      </w:r>
      <w:r>
        <w:rPr>
          <w:b/>
          <w:bCs/>
          <w:color w:val="000000"/>
        </w:rPr>
        <w:t xml:space="preserve">5.4.1-6     </w:t>
      </w:r>
      <w:r>
        <w:rPr>
          <w:rFonts w:hint="eastAsia"/>
          <w:b/>
          <w:bCs/>
          <w:color w:val="000000"/>
        </w:rPr>
        <w:t>镇赉县2</w:t>
      </w:r>
      <w:r>
        <w:rPr>
          <w:b/>
          <w:bCs/>
          <w:color w:val="000000"/>
        </w:rPr>
        <w:t>021-2030</w:t>
      </w:r>
      <w:r>
        <w:rPr>
          <w:rFonts w:hint="eastAsia"/>
          <w:b/>
          <w:bCs/>
          <w:color w:val="000000"/>
        </w:rPr>
        <w:t>年新增高效节水灌溉任务表（分年度）</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69"/>
        <w:gridCol w:w="3177"/>
        <w:gridCol w:w="26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年度</w:t>
            </w:r>
          </w:p>
        </w:tc>
        <w:tc>
          <w:tcPr>
            <w:tcW w:w="3240" w:type="pct"/>
            <w:gridSpan w:val="2"/>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新增高效节水灌溉面积（万亩）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2021年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0.8</w:t>
            </w:r>
          </w:p>
        </w:tc>
        <w:tc>
          <w:tcPr>
            <w:tcW w:w="1476" w:type="pct"/>
            <w:vMerge w:val="restar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highlight w:val="yellow"/>
              </w:rPr>
            </w:pPr>
            <w:r>
              <w:rPr>
                <w:rFonts w:hint="eastAsia" w:ascii="宋体" w:hAnsi="宋体" w:cs="宋体"/>
                <w:b/>
                <w:bCs/>
                <w:snapToGrid/>
                <w:color w:val="000000"/>
                <w:sz w:val="21"/>
                <w:szCs w:val="21"/>
              </w:rPr>
              <w:t>2022年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4</w:t>
            </w:r>
          </w:p>
        </w:tc>
        <w:tc>
          <w:tcPr>
            <w:tcW w:w="1476" w:type="pct"/>
            <w:vMerge w:val="continue"/>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2023年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1.7</w:t>
            </w:r>
          </w:p>
        </w:tc>
        <w:tc>
          <w:tcPr>
            <w:tcW w:w="1476" w:type="pct"/>
            <w:vMerge w:val="continue"/>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2024年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5</w:t>
            </w:r>
          </w:p>
        </w:tc>
        <w:tc>
          <w:tcPr>
            <w:tcW w:w="1476" w:type="pct"/>
            <w:vMerge w:val="continue"/>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2025年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w:t>
            </w:r>
          </w:p>
        </w:tc>
        <w:tc>
          <w:tcPr>
            <w:tcW w:w="1476" w:type="pct"/>
            <w:vMerge w:val="continue"/>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2026年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2</w:t>
            </w:r>
          </w:p>
        </w:tc>
        <w:tc>
          <w:tcPr>
            <w:tcW w:w="1476" w:type="pct"/>
            <w:vMerge w:val="restar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2027年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8</w:t>
            </w:r>
          </w:p>
        </w:tc>
        <w:tc>
          <w:tcPr>
            <w:tcW w:w="1476" w:type="pct"/>
            <w:vMerge w:val="continue"/>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2028年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8</w:t>
            </w:r>
          </w:p>
        </w:tc>
        <w:tc>
          <w:tcPr>
            <w:tcW w:w="1476" w:type="pct"/>
            <w:vMerge w:val="continue"/>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2029年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w:t>
            </w:r>
            <w:r>
              <w:rPr>
                <w:rFonts w:ascii="宋体" w:hAnsi="宋体" w:cs="宋体"/>
                <w:snapToGrid/>
                <w:color w:val="000000"/>
                <w:sz w:val="21"/>
                <w:szCs w:val="21"/>
              </w:rPr>
              <w:t>.3</w:t>
            </w:r>
          </w:p>
        </w:tc>
        <w:tc>
          <w:tcPr>
            <w:tcW w:w="1476" w:type="pct"/>
            <w:vMerge w:val="continue"/>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2030年</w:t>
            </w:r>
          </w:p>
        </w:tc>
        <w:tc>
          <w:tcPr>
            <w:tcW w:w="1764" w:type="pct"/>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0.7</w:t>
            </w:r>
          </w:p>
        </w:tc>
        <w:tc>
          <w:tcPr>
            <w:tcW w:w="1476" w:type="pct"/>
            <w:vMerge w:val="continue"/>
            <w:noWrap w:val="0"/>
            <w:vAlign w:val="center"/>
          </w:tcPr>
          <w:p>
            <w:pPr>
              <w:widowControl/>
              <w:adjustRightInd/>
              <w:snapToGrid/>
              <w:spacing w:line="240" w:lineRule="auto"/>
              <w:ind w:firstLine="0" w:firstLineChars="0"/>
              <w:jc w:val="left"/>
              <w:rPr>
                <w:rFonts w:ascii="宋体" w:hAnsi="宋体" w:cs="宋体"/>
                <w:snapToGrid/>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60" w:type="pct"/>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合计</w:t>
            </w:r>
          </w:p>
        </w:tc>
        <w:tc>
          <w:tcPr>
            <w:tcW w:w="3240" w:type="pct"/>
            <w:gridSpan w:val="2"/>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color w:val="000000"/>
                <w:sz w:val="21"/>
                <w:szCs w:val="21"/>
              </w:rPr>
              <w:t>37.5</w:t>
            </w:r>
          </w:p>
        </w:tc>
      </w:tr>
    </w:tbl>
    <w:p>
      <w:pPr>
        <w:ind w:firstLine="480"/>
        <w:rPr>
          <w:color w:val="000000"/>
        </w:rPr>
      </w:pPr>
    </w:p>
    <w:p>
      <w:pPr>
        <w:pStyle w:val="4"/>
        <w:rPr>
          <w:color w:val="000000"/>
        </w:rPr>
      </w:pPr>
      <w:bookmarkStart w:id="53" w:name="_Toc97667858"/>
      <w:r>
        <w:rPr>
          <w:color w:val="000000"/>
        </w:rPr>
        <w:t>5.4.2乡镇任务安排</w:t>
      </w:r>
      <w:bookmarkEnd w:id="53"/>
    </w:p>
    <w:p>
      <w:pPr>
        <w:ind w:firstLine="480"/>
        <w:rPr>
          <w:rFonts w:hint="eastAsia"/>
          <w:color w:val="000000"/>
        </w:rPr>
      </w:pPr>
      <w:r>
        <w:rPr>
          <w:rFonts w:hint="eastAsia"/>
          <w:color w:val="000000"/>
        </w:rPr>
        <w:t>通过整理各乡镇已建高标准农田项目受益区面积、建设时间及未建设高标准农田耕地面积统计，本着“未建设优先考虑、集中连片优先考虑、建设年限久远优先考虑”的“三优先”原则规划镇赉县2</w:t>
      </w:r>
      <w:r>
        <w:rPr>
          <w:color w:val="000000"/>
        </w:rPr>
        <w:t>021</w:t>
      </w:r>
      <w:r>
        <w:rPr>
          <w:rFonts w:hint="eastAsia"/>
          <w:color w:val="000000"/>
        </w:rPr>
        <w:t>年~</w:t>
      </w:r>
      <w:r>
        <w:rPr>
          <w:color w:val="000000"/>
        </w:rPr>
        <w:t>2030</w:t>
      </w:r>
      <w:r>
        <w:rPr>
          <w:rFonts w:hint="eastAsia"/>
          <w:color w:val="000000"/>
        </w:rPr>
        <w:t>年各乡镇建设任务，各乡镇规划建设任务见表5</w:t>
      </w:r>
      <w:r>
        <w:rPr>
          <w:color w:val="000000"/>
        </w:rPr>
        <w:t>.4.2-1</w:t>
      </w:r>
      <w:r>
        <w:rPr>
          <w:rFonts w:hint="eastAsia"/>
          <w:color w:val="000000"/>
        </w:rPr>
        <w:t>。</w:t>
      </w:r>
    </w:p>
    <w:p>
      <w:pPr>
        <w:ind w:firstLine="0" w:firstLineChars="0"/>
        <w:rPr>
          <w:rFonts w:hint="eastAsia"/>
          <w:b/>
          <w:bCs/>
          <w:color w:val="000000"/>
        </w:rPr>
      </w:pPr>
      <w:r>
        <w:rPr>
          <w:rFonts w:hint="eastAsia"/>
          <w:b/>
          <w:bCs/>
          <w:color w:val="000000"/>
        </w:rPr>
        <w:t>表5</w:t>
      </w:r>
      <w:r>
        <w:rPr>
          <w:b/>
          <w:bCs/>
          <w:color w:val="000000"/>
        </w:rPr>
        <w:t xml:space="preserve">.4.2-1                 </w:t>
      </w:r>
      <w:r>
        <w:rPr>
          <w:rFonts w:hint="eastAsia"/>
          <w:b/>
          <w:bCs/>
          <w:color w:val="000000"/>
        </w:rPr>
        <w:t>各乡镇高标准农田规划概况</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03"/>
        <w:gridCol w:w="1070"/>
        <w:gridCol w:w="999"/>
        <w:gridCol w:w="1653"/>
        <w:gridCol w:w="1653"/>
        <w:gridCol w:w="17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4" w:hRule="atLeast"/>
          <w:tblHeader/>
          <w:jc w:val="center"/>
        </w:trPr>
        <w:tc>
          <w:tcPr>
            <w:tcW w:w="1057" w:type="pct"/>
            <w:shd w:val="clear" w:color="auto" w:fill="auto"/>
            <w:noWrap/>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乡镇名称</w:t>
            </w:r>
          </w:p>
        </w:tc>
        <w:tc>
          <w:tcPr>
            <w:tcW w:w="594"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剩余耕地面积</w:t>
            </w:r>
          </w:p>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（万亩）</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规划耕地面积</w:t>
            </w:r>
          </w:p>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（万亩）</w:t>
            </w:r>
          </w:p>
        </w:tc>
        <w:tc>
          <w:tcPr>
            <w:tcW w:w="918"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计划新建高标准农田面积</w:t>
            </w:r>
          </w:p>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（万亩）</w:t>
            </w:r>
          </w:p>
        </w:tc>
        <w:tc>
          <w:tcPr>
            <w:tcW w:w="918"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计划改造高标准农田面积</w:t>
            </w:r>
          </w:p>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（万亩）</w:t>
            </w:r>
          </w:p>
        </w:tc>
        <w:tc>
          <w:tcPr>
            <w:tcW w:w="958"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其中新增高效节水灌溉面积</w:t>
            </w:r>
          </w:p>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（万亩）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镇赉镇</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29.65</w:t>
            </w:r>
          </w:p>
        </w:tc>
        <w:tc>
          <w:tcPr>
            <w:tcW w:w="555"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21.61</w:t>
            </w:r>
          </w:p>
        </w:tc>
        <w:tc>
          <w:tcPr>
            <w:tcW w:w="918"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21.61</w:t>
            </w:r>
          </w:p>
        </w:tc>
        <w:tc>
          <w:tcPr>
            <w:tcW w:w="918"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4</w:t>
            </w:r>
          </w:p>
        </w:tc>
        <w:tc>
          <w:tcPr>
            <w:tcW w:w="958" w:type="pct"/>
            <w:shd w:val="clear" w:color="auto" w:fill="auto"/>
            <w:noWrap/>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hint="eastAsia" w:ascii="宋体" w:hAnsi="宋体" w:cs="宋体"/>
                <w:snapToGrid/>
                <w:color w:val="000000"/>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坦途镇</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11.38</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4.03</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4.03</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14</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东屏镇</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10.91</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7.01</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7.01</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大屯镇</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22.51</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9.31</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9.31</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沿江镇</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17.18</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五棵树镇</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17.93</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5.4</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5.4</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黑鱼泡镇</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44.44</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19.8</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19.8</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哈吐气蒙古族乡</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1.69</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0.22</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0.22</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莫莫格蒙古族乡</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16.67</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建平乡</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9.49</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5.51</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5.51</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嘎什根乡</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18.52</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9.37</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9.37</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2</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白沙滩灌区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到保农场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复兴马场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0.46</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葛连昭马场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0.99</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九龙山马场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3.75</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白音套海畜牧场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1.6</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65052部队</w:t>
            </w:r>
          </w:p>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洮南训练场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2.02</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1.95</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1.95</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中国人民解放军</w:t>
            </w:r>
          </w:p>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95988部队</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吉林省监狱管理局</w:t>
            </w:r>
          </w:p>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镇赉分局</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10.84</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7.2</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7.2</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大岗林场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r>
              <w:rPr>
                <w:rFonts w:ascii="宋体" w:hAnsi="宋体" w:cs="宋体"/>
                <w:snapToGrid/>
                <w:color w:val="000000"/>
                <w:sz w:val="21"/>
                <w:szCs w:val="21"/>
              </w:rPr>
              <w:t>11.2</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东方红留守处</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莫莫格林场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镇赉种猪场</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snapToGrid/>
                <w:color w:val="000000"/>
                <w:sz w:val="21"/>
                <w:szCs w:val="21"/>
              </w:rPr>
            </w:pP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ascii="宋体" w:hAnsi="宋体" w:cs="宋体"/>
                <w:snapToGrid/>
                <w:color w:val="0000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合计</w:t>
            </w:r>
          </w:p>
        </w:tc>
        <w:tc>
          <w:tcPr>
            <w:tcW w:w="594"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ascii="宋体" w:hAnsi="宋体" w:cs="宋体"/>
                <w:b/>
                <w:bCs/>
                <w:snapToGrid/>
                <w:color w:val="000000"/>
                <w:sz w:val="21"/>
                <w:szCs w:val="21"/>
              </w:rPr>
              <w:t>231.23</w:t>
            </w:r>
          </w:p>
        </w:tc>
        <w:tc>
          <w:tcPr>
            <w:tcW w:w="555"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9</w:t>
            </w:r>
            <w:r>
              <w:rPr>
                <w:rFonts w:ascii="宋体" w:hAnsi="宋体" w:cs="宋体"/>
                <w:b/>
                <w:bCs/>
                <w:snapToGrid/>
                <w:color w:val="000000"/>
                <w:sz w:val="21"/>
                <w:szCs w:val="21"/>
              </w:rPr>
              <w:t>1.41</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9</w:t>
            </w:r>
            <w:r>
              <w:rPr>
                <w:rFonts w:ascii="宋体" w:hAnsi="宋体" w:cs="宋体"/>
                <w:b/>
                <w:bCs/>
                <w:snapToGrid/>
                <w:color w:val="000000"/>
                <w:sz w:val="21"/>
                <w:szCs w:val="21"/>
              </w:rPr>
              <w:t>1.41</w:t>
            </w:r>
          </w:p>
        </w:tc>
        <w:tc>
          <w:tcPr>
            <w:tcW w:w="918"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4</w:t>
            </w:r>
            <w:r>
              <w:rPr>
                <w:rFonts w:ascii="宋体" w:hAnsi="宋体" w:cs="宋体"/>
                <w:b/>
                <w:bCs/>
                <w:snapToGrid/>
                <w:color w:val="000000"/>
                <w:sz w:val="21"/>
                <w:szCs w:val="21"/>
              </w:rPr>
              <w:t>2.00</w:t>
            </w:r>
          </w:p>
        </w:tc>
        <w:tc>
          <w:tcPr>
            <w:tcW w:w="958"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ascii="宋体" w:hAnsi="宋体" w:cs="宋体"/>
                <w:b/>
                <w:bCs/>
                <w:snapToGrid/>
                <w:color w:val="000000"/>
                <w:sz w:val="21"/>
                <w:szCs w:val="21"/>
              </w:rPr>
              <w:t>37.50</w:t>
            </w:r>
          </w:p>
        </w:tc>
      </w:tr>
    </w:tbl>
    <w:p>
      <w:pPr>
        <w:pStyle w:val="2"/>
        <w:rPr>
          <w:color w:val="000000"/>
        </w:rPr>
      </w:pPr>
      <w:r>
        <w:rPr>
          <w:color w:val="000000"/>
        </w:rPr>
        <w:br w:type="page"/>
      </w:r>
      <w:bookmarkStart w:id="54" w:name="_Toc97667860"/>
      <w:bookmarkStart w:id="55" w:name="_Toc119750199"/>
      <w:r>
        <w:rPr>
          <w:color w:val="000000"/>
        </w:rPr>
        <w:t>6投资</w:t>
      </w:r>
      <w:r>
        <w:rPr>
          <w:rFonts w:hint="eastAsia"/>
          <w:color w:val="000000"/>
          <w:lang w:eastAsia="zh-CN"/>
        </w:rPr>
        <w:t>匡</w:t>
      </w:r>
      <w:r>
        <w:rPr>
          <w:color w:val="000000"/>
        </w:rPr>
        <w:t>算</w:t>
      </w:r>
      <w:bookmarkEnd w:id="54"/>
      <w:bookmarkEnd w:id="55"/>
    </w:p>
    <w:p>
      <w:pPr>
        <w:pStyle w:val="3"/>
        <w:rPr>
          <w:color w:val="000000"/>
        </w:rPr>
      </w:pPr>
      <w:bookmarkStart w:id="56" w:name="_Toc119750200"/>
      <w:bookmarkStart w:id="57" w:name="_Toc97667861"/>
      <w:r>
        <w:rPr>
          <w:color w:val="000000"/>
        </w:rPr>
        <w:t>6.1新建高标准农田建设资金</w:t>
      </w:r>
      <w:bookmarkEnd w:id="56"/>
      <w:bookmarkEnd w:id="57"/>
    </w:p>
    <w:p>
      <w:pPr>
        <w:ind w:firstLine="480"/>
        <w:rPr>
          <w:color w:val="000000"/>
        </w:rPr>
      </w:pPr>
      <w:r>
        <w:rPr>
          <w:rFonts w:hint="eastAsia"/>
          <w:color w:val="000000"/>
        </w:rPr>
        <w:t>根据年度投资计划制定各乡镇新建高标准农田建设项目投资标准及匡算投资，投资标准按照年度投资标准逐步达到3</w:t>
      </w:r>
      <w:r>
        <w:rPr>
          <w:color w:val="000000"/>
        </w:rPr>
        <w:t>000</w:t>
      </w:r>
      <w:r>
        <w:rPr>
          <w:rFonts w:hint="eastAsia"/>
          <w:color w:val="000000"/>
        </w:rPr>
        <w:t>元</w:t>
      </w:r>
      <w:r>
        <w:rPr>
          <w:color w:val="000000"/>
        </w:rPr>
        <w:t>/</w:t>
      </w:r>
      <w:r>
        <w:rPr>
          <w:rFonts w:hint="eastAsia"/>
          <w:color w:val="000000"/>
        </w:rPr>
        <w:t>亩，建设项目涵盖土地平整工程、土壤改良工程、灌溉排水工程、田间道路工程、农田防护和生态环境保护工程、农田输配电工程及科技推广措施等。新建高标准农田匡算总投资</w:t>
      </w:r>
      <w:r>
        <w:rPr>
          <w:color w:val="000000"/>
        </w:rPr>
        <w:t>182793.77</w:t>
      </w:r>
      <w:r>
        <w:rPr>
          <w:rFonts w:hint="eastAsia"/>
          <w:color w:val="000000"/>
        </w:rPr>
        <w:t>万元，其中建安工程总投资</w:t>
      </w:r>
      <w:r>
        <w:rPr>
          <w:color w:val="000000"/>
        </w:rPr>
        <w:t>174568.09</w:t>
      </w:r>
      <w:r>
        <w:rPr>
          <w:rFonts w:hint="eastAsia"/>
          <w:color w:val="000000"/>
        </w:rPr>
        <w:t>万元，独立费用</w:t>
      </w:r>
      <w:r>
        <w:rPr>
          <w:color w:val="000000"/>
        </w:rPr>
        <w:t>8225.68</w:t>
      </w:r>
      <w:r>
        <w:rPr>
          <w:rFonts w:hint="eastAsia"/>
          <w:color w:val="000000"/>
        </w:rPr>
        <w:t>万元。新建高标准农田投资匡算见表6</w:t>
      </w:r>
      <w:r>
        <w:rPr>
          <w:color w:val="000000"/>
        </w:rPr>
        <w:t>.1-1</w:t>
      </w:r>
      <w:r>
        <w:rPr>
          <w:rFonts w:hint="eastAsia"/>
          <w:color w:val="000000"/>
        </w:rPr>
        <w:t>。</w:t>
      </w:r>
    </w:p>
    <w:p>
      <w:pPr>
        <w:ind w:firstLine="0" w:firstLineChars="0"/>
        <w:rPr>
          <w:rFonts w:hint="eastAsia"/>
          <w:b/>
          <w:bCs/>
          <w:color w:val="000000"/>
        </w:rPr>
      </w:pPr>
      <w:r>
        <w:rPr>
          <w:rFonts w:hint="eastAsia"/>
          <w:b/>
          <w:bCs/>
          <w:color w:val="000000"/>
        </w:rPr>
        <w:t>表6</w:t>
      </w:r>
      <w:r>
        <w:rPr>
          <w:b/>
          <w:bCs/>
          <w:color w:val="000000"/>
        </w:rPr>
        <w:t xml:space="preserve">.1-1                </w:t>
      </w:r>
      <w:r>
        <w:rPr>
          <w:rFonts w:hint="eastAsia"/>
          <w:b/>
          <w:bCs/>
          <w:color w:val="000000"/>
        </w:rPr>
        <w:t xml:space="preserve">新建高标准农田投资匡算总表 </w:t>
      </w:r>
      <w:r>
        <w:rPr>
          <w:b/>
          <w:bCs/>
          <w:color w:val="000000"/>
        </w:rPr>
        <w:t xml:space="preserve">            </w:t>
      </w:r>
      <w:r>
        <w:rPr>
          <w:rFonts w:hint="eastAsia"/>
          <w:b/>
          <w:bCs/>
          <w:color w:val="000000"/>
        </w:rPr>
        <w:t>单位：万元</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3"/>
        <w:gridCol w:w="3578"/>
        <w:gridCol w:w="1610"/>
        <w:gridCol w:w="1559"/>
        <w:gridCol w:w="13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85"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Cs w:val="24"/>
              </w:rPr>
            </w:pPr>
            <w:r>
              <w:rPr>
                <w:rFonts w:hint="eastAsia" w:ascii="宋体" w:hAnsi="宋体" w:cs="宋体"/>
                <w:b/>
                <w:bCs/>
                <w:snapToGrid/>
                <w:color w:val="000000"/>
                <w:szCs w:val="24"/>
              </w:rPr>
              <w:t>序号</w:t>
            </w:r>
          </w:p>
        </w:tc>
        <w:tc>
          <w:tcPr>
            <w:tcW w:w="1987"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Cs w:val="24"/>
              </w:rPr>
            </w:pPr>
            <w:r>
              <w:rPr>
                <w:rFonts w:hint="eastAsia" w:ascii="宋体" w:hAnsi="宋体" w:cs="宋体"/>
                <w:b/>
                <w:bCs/>
                <w:snapToGrid/>
                <w:color w:val="000000"/>
                <w:szCs w:val="24"/>
              </w:rPr>
              <w:t>工程或费用名称</w:t>
            </w:r>
          </w:p>
        </w:tc>
        <w:tc>
          <w:tcPr>
            <w:tcW w:w="894"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Cs w:val="24"/>
              </w:rPr>
            </w:pPr>
            <w:r>
              <w:rPr>
                <w:rFonts w:hint="eastAsia" w:ascii="宋体" w:hAnsi="宋体" w:cs="宋体"/>
                <w:b/>
                <w:bCs/>
                <w:snapToGrid/>
                <w:color w:val="000000"/>
                <w:szCs w:val="24"/>
              </w:rPr>
              <w:t>建安工程费</w:t>
            </w:r>
          </w:p>
        </w:tc>
        <w:tc>
          <w:tcPr>
            <w:tcW w:w="866"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Cs w:val="24"/>
              </w:rPr>
            </w:pPr>
            <w:r>
              <w:rPr>
                <w:rFonts w:hint="eastAsia" w:ascii="宋体" w:hAnsi="宋体" w:cs="宋体"/>
                <w:b/>
                <w:bCs/>
                <w:snapToGrid/>
                <w:color w:val="000000"/>
                <w:szCs w:val="24"/>
              </w:rPr>
              <w:t>独立费用</w:t>
            </w:r>
          </w:p>
        </w:tc>
        <w:tc>
          <w:tcPr>
            <w:tcW w:w="768"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Cs w:val="24"/>
              </w:rPr>
            </w:pPr>
            <w:r>
              <w:rPr>
                <w:rFonts w:hint="eastAsia" w:ascii="宋体" w:hAnsi="宋体" w:cs="宋体"/>
                <w:b/>
                <w:bCs/>
                <w:snapToGrid/>
                <w:color w:val="000000"/>
                <w:szCs w:val="24"/>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一</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镇赉县2021年高标准农田建设项目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25583.45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1205.50</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26788.95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二</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2</w:t>
            </w:r>
            <w:r>
              <w:rPr>
                <w:rFonts w:hint="eastAsia"/>
                <w:color w:val="000000"/>
                <w:sz w:val="21"/>
                <w:szCs w:val="21"/>
              </w:rPr>
              <w:t>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33102.21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1559.79</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34662.00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三</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3</w:t>
            </w:r>
            <w:r>
              <w:rPr>
                <w:rFonts w:hint="eastAsia"/>
                <w:color w:val="000000"/>
                <w:sz w:val="21"/>
                <w:szCs w:val="21"/>
              </w:rPr>
              <w:t>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7857.73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370.25</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8227.98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四</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4</w:t>
            </w:r>
            <w:r>
              <w:rPr>
                <w:rFonts w:hint="eastAsia"/>
                <w:color w:val="000000"/>
                <w:sz w:val="21"/>
                <w:szCs w:val="21"/>
              </w:rPr>
              <w:t>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9241.40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435.45</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9676.85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五</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5</w:t>
            </w:r>
            <w:r>
              <w:rPr>
                <w:rFonts w:hint="eastAsia"/>
                <w:color w:val="000000"/>
                <w:sz w:val="21"/>
                <w:szCs w:val="21"/>
              </w:rPr>
              <w:t>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6645.90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313.15</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6959.05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六</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6</w:t>
            </w:r>
            <w:r>
              <w:rPr>
                <w:rFonts w:hint="eastAsia"/>
                <w:color w:val="000000"/>
                <w:sz w:val="21"/>
                <w:szCs w:val="21"/>
              </w:rPr>
              <w:t>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15198.42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716.15</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15914.57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七</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7</w:t>
            </w:r>
            <w:r>
              <w:rPr>
                <w:rFonts w:hint="eastAsia"/>
                <w:color w:val="000000"/>
                <w:sz w:val="21"/>
                <w:szCs w:val="21"/>
              </w:rPr>
              <w:t>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18618.68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877.32</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19496.00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八</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8</w:t>
            </w:r>
            <w:r>
              <w:rPr>
                <w:rFonts w:hint="eastAsia"/>
                <w:color w:val="000000"/>
                <w:sz w:val="21"/>
                <w:szCs w:val="21"/>
              </w:rPr>
              <w:t>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20039.72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944.28</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20984.00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九</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9</w:t>
            </w:r>
            <w:r>
              <w:rPr>
                <w:rFonts w:hint="eastAsia"/>
                <w:color w:val="000000"/>
                <w:sz w:val="21"/>
                <w:szCs w:val="21"/>
              </w:rPr>
              <w:t>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23955.58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1128.79</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25084.37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85"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十</w:t>
            </w:r>
          </w:p>
        </w:tc>
        <w:tc>
          <w:tcPr>
            <w:tcW w:w="1987"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w:t>
            </w:r>
            <w:r>
              <w:rPr>
                <w:color w:val="000000"/>
                <w:sz w:val="21"/>
                <w:szCs w:val="21"/>
              </w:rPr>
              <w:t>30</w:t>
            </w:r>
            <w:r>
              <w:rPr>
                <w:rFonts w:hint="eastAsia"/>
                <w:color w:val="000000"/>
                <w:sz w:val="21"/>
                <w:szCs w:val="21"/>
              </w:rPr>
              <w:t>年高标准农田建设项目</w:t>
            </w:r>
          </w:p>
        </w:tc>
        <w:tc>
          <w:tcPr>
            <w:tcW w:w="894"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14325.00 </w:t>
            </w:r>
          </w:p>
        </w:tc>
        <w:tc>
          <w:tcPr>
            <w:tcW w:w="866"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675.00</w:t>
            </w:r>
          </w:p>
        </w:tc>
        <w:tc>
          <w:tcPr>
            <w:tcW w:w="768"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15000.00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472" w:type="pct"/>
            <w:gridSpan w:val="2"/>
            <w:shd w:val="clear" w:color="auto" w:fill="auto"/>
            <w:noWrap/>
            <w:vAlign w:val="center"/>
          </w:tcPr>
          <w:p>
            <w:pPr>
              <w:widowControl/>
              <w:adjustRightInd/>
              <w:snapToGrid/>
              <w:spacing w:line="240" w:lineRule="auto"/>
              <w:ind w:firstLine="0" w:firstLineChars="0"/>
              <w:jc w:val="center"/>
              <w:rPr>
                <w:rFonts w:hint="eastAsia"/>
                <w:b/>
                <w:bCs/>
                <w:color w:val="000000"/>
                <w:sz w:val="21"/>
                <w:szCs w:val="21"/>
              </w:rPr>
            </w:pPr>
            <w:r>
              <w:rPr>
                <w:rFonts w:hint="eastAsia"/>
                <w:b/>
                <w:bCs/>
                <w:color w:val="000000"/>
                <w:sz w:val="21"/>
                <w:szCs w:val="21"/>
              </w:rPr>
              <w:t>合计</w:t>
            </w:r>
          </w:p>
        </w:tc>
        <w:tc>
          <w:tcPr>
            <w:tcW w:w="894" w:type="pct"/>
            <w:shd w:val="clear" w:color="auto" w:fill="auto"/>
            <w:noWrap/>
            <w:vAlign w:val="center"/>
          </w:tcPr>
          <w:p>
            <w:pPr>
              <w:spacing w:line="240" w:lineRule="atLeast"/>
              <w:ind w:firstLine="0" w:firstLineChars="0"/>
              <w:jc w:val="center"/>
              <w:rPr>
                <w:b/>
                <w:bCs/>
                <w:color w:val="000000"/>
                <w:sz w:val="21"/>
                <w:szCs w:val="21"/>
              </w:rPr>
            </w:pPr>
            <w:r>
              <w:rPr>
                <w:b/>
                <w:bCs/>
                <w:color w:val="000000"/>
                <w:sz w:val="21"/>
                <w:szCs w:val="21"/>
              </w:rPr>
              <w:t>174568.09</w:t>
            </w:r>
          </w:p>
        </w:tc>
        <w:tc>
          <w:tcPr>
            <w:tcW w:w="866" w:type="pct"/>
            <w:shd w:val="clear" w:color="auto" w:fill="auto"/>
            <w:noWrap/>
            <w:vAlign w:val="center"/>
          </w:tcPr>
          <w:p>
            <w:pPr>
              <w:spacing w:line="240" w:lineRule="atLeast"/>
              <w:ind w:firstLine="0" w:firstLineChars="0"/>
              <w:jc w:val="center"/>
              <w:rPr>
                <w:b/>
                <w:bCs/>
                <w:color w:val="000000"/>
                <w:sz w:val="21"/>
                <w:szCs w:val="21"/>
              </w:rPr>
            </w:pPr>
            <w:r>
              <w:rPr>
                <w:b/>
                <w:bCs/>
                <w:color w:val="000000"/>
                <w:sz w:val="21"/>
                <w:szCs w:val="21"/>
              </w:rPr>
              <w:t>8225.68</w:t>
            </w:r>
          </w:p>
        </w:tc>
        <w:tc>
          <w:tcPr>
            <w:tcW w:w="768" w:type="pct"/>
            <w:shd w:val="clear" w:color="auto" w:fill="auto"/>
            <w:noWrap/>
            <w:vAlign w:val="center"/>
          </w:tcPr>
          <w:p>
            <w:pPr>
              <w:widowControl/>
              <w:adjustRightInd/>
              <w:snapToGrid/>
              <w:spacing w:line="240" w:lineRule="auto"/>
              <w:ind w:firstLine="0" w:firstLineChars="0"/>
              <w:jc w:val="center"/>
              <w:rPr>
                <w:rFonts w:hint="eastAsia"/>
                <w:b/>
                <w:bCs/>
                <w:color w:val="000000"/>
                <w:sz w:val="21"/>
                <w:szCs w:val="21"/>
              </w:rPr>
            </w:pPr>
            <w:r>
              <w:rPr>
                <w:b/>
                <w:bCs/>
                <w:color w:val="000000"/>
                <w:sz w:val="21"/>
                <w:szCs w:val="21"/>
              </w:rPr>
              <w:t xml:space="preserve">182793.77 </w:t>
            </w:r>
            <w:r>
              <w:rPr>
                <w:rFonts w:hint="eastAsia"/>
                <w:b/>
                <w:bCs/>
                <w:color w:val="000000"/>
                <w:sz w:val="21"/>
                <w:szCs w:val="21"/>
              </w:rPr>
              <w:t xml:space="preserve"> </w:t>
            </w:r>
          </w:p>
        </w:tc>
      </w:tr>
    </w:tbl>
    <w:p>
      <w:pPr>
        <w:ind w:firstLine="0" w:firstLineChars="0"/>
        <w:rPr>
          <w:rFonts w:hint="eastAsia"/>
          <w:b/>
          <w:bCs/>
          <w:color w:val="000000"/>
        </w:rPr>
      </w:pPr>
    </w:p>
    <w:p>
      <w:pPr>
        <w:pStyle w:val="3"/>
        <w:rPr>
          <w:color w:val="000000"/>
        </w:rPr>
      </w:pPr>
      <w:bookmarkStart w:id="58" w:name="_Toc97667862"/>
      <w:bookmarkStart w:id="59" w:name="_Toc119750201"/>
      <w:r>
        <w:rPr>
          <w:color w:val="000000"/>
        </w:rPr>
        <w:t>6.2提质改造高标准农田建设资金</w:t>
      </w:r>
      <w:bookmarkEnd w:id="58"/>
      <w:bookmarkEnd w:id="59"/>
    </w:p>
    <w:p>
      <w:pPr>
        <w:ind w:firstLine="480"/>
        <w:rPr>
          <w:color w:val="000000"/>
        </w:rPr>
      </w:pPr>
      <w:r>
        <w:rPr>
          <w:rFonts w:hint="eastAsia"/>
          <w:color w:val="000000"/>
        </w:rPr>
        <w:t>根据年度投资计划制定各乡镇高标准农田提质改造建设项目投资标准及匡算投资，投资标准按照年度投资标准</w:t>
      </w:r>
      <w:r>
        <w:rPr>
          <w:color w:val="000000"/>
        </w:rPr>
        <w:t>1700</w:t>
      </w:r>
      <w:r>
        <w:rPr>
          <w:rFonts w:hint="eastAsia"/>
          <w:color w:val="000000"/>
        </w:rPr>
        <w:t>元</w:t>
      </w:r>
      <w:r>
        <w:rPr>
          <w:color w:val="000000"/>
        </w:rPr>
        <w:t>/</w:t>
      </w:r>
      <w:r>
        <w:rPr>
          <w:rFonts w:hint="eastAsia"/>
          <w:color w:val="000000"/>
        </w:rPr>
        <w:t>亩，建设项目涵盖田块整治工程、土壤改良工程、灌溉排水工程、田间道路工程、农田防护和生态环境保护工程、农田输配电工程、科技服务及管护利用，工程主要对2</w:t>
      </w:r>
      <w:r>
        <w:rPr>
          <w:color w:val="000000"/>
        </w:rPr>
        <w:t>011</w:t>
      </w:r>
      <w:r>
        <w:rPr>
          <w:rFonts w:hint="eastAsia"/>
          <w:color w:val="000000"/>
        </w:rPr>
        <w:t>年-</w:t>
      </w:r>
      <w:r>
        <w:rPr>
          <w:color w:val="000000"/>
        </w:rPr>
        <w:t>2020</w:t>
      </w:r>
      <w:r>
        <w:rPr>
          <w:rFonts w:hint="eastAsia"/>
          <w:color w:val="000000"/>
        </w:rPr>
        <w:t>年已建高标准农田项目区内存在建筑物老化破损、投资标准低田间建筑物不配套的区域进行改造建设，主要涉及到渠道维修加固、破损渠道拆除重建等；田间道路工程主要建设水泥混凝土机耕路、过水路面及过路涵等交叉建筑物；土壤改良工程主要针对地力下降的农田进行旋耕、灭茬、增施有机肥等。高标准农田提质改造项目匡算总投资</w:t>
      </w:r>
      <w:r>
        <w:rPr>
          <w:color w:val="000000"/>
        </w:rPr>
        <w:t>71400</w:t>
      </w:r>
      <w:r>
        <w:rPr>
          <w:rFonts w:hint="eastAsia"/>
          <w:color w:val="000000"/>
        </w:rPr>
        <w:t>万元，其中建安工程总投资</w:t>
      </w:r>
      <w:r>
        <w:rPr>
          <w:color w:val="000000"/>
        </w:rPr>
        <w:t>68187.00</w:t>
      </w:r>
      <w:r>
        <w:rPr>
          <w:rFonts w:hint="eastAsia"/>
          <w:color w:val="000000"/>
        </w:rPr>
        <w:t>万元，独立费用</w:t>
      </w:r>
      <w:r>
        <w:rPr>
          <w:color w:val="000000"/>
        </w:rPr>
        <w:t>3213.00</w:t>
      </w:r>
      <w:r>
        <w:rPr>
          <w:rFonts w:hint="eastAsia"/>
          <w:color w:val="000000"/>
        </w:rPr>
        <w:t>万元。高标准农田提质改造项目投资匡算见表6</w:t>
      </w:r>
      <w:r>
        <w:rPr>
          <w:color w:val="000000"/>
        </w:rPr>
        <w:t>.2-1</w:t>
      </w:r>
      <w:r>
        <w:rPr>
          <w:rFonts w:hint="eastAsia"/>
          <w:color w:val="000000"/>
        </w:rPr>
        <w:t>。</w:t>
      </w:r>
    </w:p>
    <w:p>
      <w:pPr>
        <w:ind w:firstLine="0" w:firstLineChars="0"/>
        <w:rPr>
          <w:rFonts w:hint="eastAsia"/>
          <w:b/>
          <w:bCs/>
          <w:color w:val="000000"/>
        </w:rPr>
      </w:pPr>
      <w:r>
        <w:rPr>
          <w:rFonts w:hint="eastAsia"/>
          <w:b/>
          <w:bCs/>
          <w:color w:val="000000"/>
        </w:rPr>
        <w:t>表6</w:t>
      </w:r>
      <w:r>
        <w:rPr>
          <w:b/>
          <w:bCs/>
          <w:color w:val="000000"/>
        </w:rPr>
        <w:t xml:space="preserve">.2-1            </w:t>
      </w:r>
      <w:r>
        <w:rPr>
          <w:rFonts w:hint="eastAsia"/>
          <w:b/>
          <w:bCs/>
          <w:color w:val="000000"/>
        </w:rPr>
        <w:t xml:space="preserve">高标准农田提质改造项目投资匡算总表 </w:t>
      </w:r>
      <w:r>
        <w:rPr>
          <w:b/>
          <w:bCs/>
          <w:color w:val="000000"/>
        </w:rPr>
        <w:t xml:space="preserve">         </w:t>
      </w:r>
      <w:r>
        <w:rPr>
          <w:rFonts w:hint="eastAsia"/>
          <w:b/>
          <w:bCs/>
          <w:color w:val="000000"/>
        </w:rPr>
        <w:t>单位：万元</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0"/>
        <w:gridCol w:w="4207"/>
        <w:gridCol w:w="1316"/>
        <w:gridCol w:w="1696"/>
        <w:gridCol w:w="13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0"/>
            <w:vAlign w:val="center"/>
          </w:tcPr>
          <w:p>
            <w:pPr>
              <w:widowControl/>
              <w:adjustRightInd/>
              <w:snapToGrid/>
              <w:spacing w:line="240" w:lineRule="auto"/>
              <w:ind w:firstLine="0" w:firstLineChars="0"/>
              <w:jc w:val="center"/>
              <w:rPr>
                <w:rFonts w:ascii="宋体" w:hAnsi="宋体" w:cs="宋体"/>
                <w:b/>
                <w:bCs/>
                <w:snapToGrid/>
                <w:color w:val="000000"/>
                <w:sz w:val="21"/>
                <w:szCs w:val="21"/>
              </w:rPr>
            </w:pPr>
            <w:r>
              <w:rPr>
                <w:rFonts w:hint="eastAsia" w:ascii="宋体" w:hAnsi="宋体" w:cs="宋体"/>
                <w:b/>
                <w:bCs/>
                <w:snapToGrid/>
                <w:color w:val="000000"/>
                <w:sz w:val="21"/>
                <w:szCs w:val="21"/>
              </w:rPr>
              <w:t>序号</w:t>
            </w:r>
          </w:p>
        </w:tc>
        <w:tc>
          <w:tcPr>
            <w:tcW w:w="2336"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工程或费用名称</w:t>
            </w:r>
          </w:p>
        </w:tc>
        <w:tc>
          <w:tcPr>
            <w:tcW w:w="731" w:type="pct"/>
            <w:shd w:val="clear" w:color="auto" w:fill="auto"/>
            <w:noWrap w:val="0"/>
            <w:vAlign w:val="center"/>
          </w:tcPr>
          <w:p>
            <w:pPr>
              <w:widowControl/>
              <w:adjustRightInd/>
              <w:snapToGrid/>
              <w:spacing w:line="240" w:lineRule="auto"/>
              <w:ind w:firstLine="0" w:firstLineChars="0"/>
              <w:rPr>
                <w:rFonts w:hint="eastAsia" w:ascii="宋体" w:hAnsi="宋体" w:cs="宋体"/>
                <w:b/>
                <w:bCs/>
                <w:snapToGrid/>
                <w:color w:val="000000"/>
                <w:sz w:val="21"/>
                <w:szCs w:val="21"/>
              </w:rPr>
            </w:pPr>
            <w:r>
              <w:rPr>
                <w:rFonts w:hint="eastAsia" w:ascii="宋体" w:hAnsi="宋体" w:cs="宋体"/>
                <w:b/>
                <w:bCs/>
                <w:snapToGrid/>
                <w:color w:val="000000"/>
                <w:sz w:val="21"/>
                <w:szCs w:val="21"/>
              </w:rPr>
              <w:t>建安工程费</w:t>
            </w:r>
          </w:p>
        </w:tc>
        <w:tc>
          <w:tcPr>
            <w:tcW w:w="942"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独立费用</w:t>
            </w:r>
          </w:p>
        </w:tc>
        <w:tc>
          <w:tcPr>
            <w:tcW w:w="730" w:type="pct"/>
            <w:shd w:val="clear" w:color="auto" w:fill="auto"/>
            <w:noWrap w:val="0"/>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ascii="宋体" w:hAnsi="宋体" w:cs="宋体"/>
                <w:b/>
                <w:bCs/>
                <w:snapToGrid/>
                <w:color w:val="000000"/>
                <w:sz w:val="21"/>
                <w:szCs w:val="21"/>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一</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镇赉县2021年高标准农田改造项目</w:t>
            </w:r>
          </w:p>
        </w:tc>
        <w:tc>
          <w:tcPr>
            <w:tcW w:w="731" w:type="pct"/>
            <w:shd w:val="clear" w:color="auto" w:fill="auto"/>
            <w:noWrap/>
            <w:vAlign w:val="center"/>
          </w:tcPr>
          <w:p>
            <w:pPr>
              <w:widowControl/>
              <w:adjustRightInd/>
              <w:snapToGrid/>
              <w:spacing w:line="240" w:lineRule="auto"/>
              <w:ind w:firstLine="0" w:firstLineChars="0"/>
              <w:jc w:val="center"/>
              <w:rPr>
                <w:rFonts w:hint="eastAsia"/>
                <w:color w:val="000000"/>
                <w:sz w:val="21"/>
                <w:szCs w:val="21"/>
              </w:rPr>
            </w:pPr>
            <w:r>
              <w:rPr>
                <w:color w:val="000000"/>
                <w:sz w:val="21"/>
                <w:szCs w:val="21"/>
              </w:rPr>
              <w:t>0.00</w:t>
            </w:r>
          </w:p>
        </w:tc>
        <w:tc>
          <w:tcPr>
            <w:tcW w:w="942" w:type="pct"/>
            <w:shd w:val="clear" w:color="auto" w:fill="auto"/>
            <w:noWrap/>
            <w:vAlign w:val="center"/>
          </w:tcPr>
          <w:p>
            <w:pPr>
              <w:widowControl/>
              <w:adjustRightInd/>
              <w:snapToGrid/>
              <w:spacing w:line="240" w:lineRule="auto"/>
              <w:ind w:firstLine="0" w:firstLineChars="0"/>
              <w:jc w:val="center"/>
              <w:rPr>
                <w:rFonts w:hint="eastAsia"/>
                <w:color w:val="000000"/>
                <w:sz w:val="21"/>
                <w:szCs w:val="21"/>
              </w:rPr>
            </w:pPr>
            <w:r>
              <w:rPr>
                <w:color w:val="000000"/>
                <w:sz w:val="21"/>
                <w:szCs w:val="21"/>
              </w:rPr>
              <w:t>0.00</w:t>
            </w:r>
          </w:p>
        </w:tc>
        <w:tc>
          <w:tcPr>
            <w:tcW w:w="730" w:type="pct"/>
            <w:shd w:val="clear" w:color="auto" w:fill="auto"/>
            <w:noWrap/>
            <w:vAlign w:val="center"/>
          </w:tcPr>
          <w:p>
            <w:pPr>
              <w:widowControl/>
              <w:adjustRightInd/>
              <w:snapToGrid/>
              <w:spacing w:line="240" w:lineRule="auto"/>
              <w:ind w:firstLine="0" w:firstLineChars="0"/>
              <w:jc w:val="center"/>
              <w:rPr>
                <w:rFonts w:hint="eastAsia"/>
                <w:color w:val="000000"/>
                <w:sz w:val="21"/>
                <w:szCs w:val="21"/>
              </w:rPr>
            </w:pPr>
            <w:r>
              <w:rPr>
                <w:color w:val="00000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二</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2</w:t>
            </w:r>
            <w:r>
              <w:rPr>
                <w:rFonts w:hint="eastAsia"/>
                <w:color w:val="000000"/>
                <w:sz w:val="21"/>
                <w:szCs w:val="21"/>
              </w:rPr>
              <w:t>年高标准农田改造项目</w:t>
            </w:r>
          </w:p>
        </w:tc>
        <w:tc>
          <w:tcPr>
            <w:tcW w:w="731" w:type="pct"/>
            <w:shd w:val="clear" w:color="auto" w:fill="auto"/>
            <w:noWrap/>
            <w:vAlign w:val="center"/>
          </w:tcPr>
          <w:p>
            <w:pPr>
              <w:widowControl/>
              <w:adjustRightInd/>
              <w:snapToGrid/>
              <w:spacing w:line="240" w:lineRule="auto"/>
              <w:ind w:firstLine="0" w:firstLineChars="0"/>
              <w:jc w:val="center"/>
              <w:rPr>
                <w:rFonts w:hint="eastAsia"/>
                <w:color w:val="000000"/>
                <w:sz w:val="21"/>
                <w:szCs w:val="21"/>
              </w:rPr>
            </w:pPr>
            <w:r>
              <w:rPr>
                <w:color w:val="000000"/>
                <w:sz w:val="21"/>
                <w:szCs w:val="21"/>
              </w:rPr>
              <w:t>0.00</w:t>
            </w:r>
          </w:p>
        </w:tc>
        <w:tc>
          <w:tcPr>
            <w:tcW w:w="942" w:type="pct"/>
            <w:shd w:val="clear" w:color="auto" w:fill="auto"/>
            <w:noWrap/>
            <w:vAlign w:val="center"/>
          </w:tcPr>
          <w:p>
            <w:pPr>
              <w:widowControl/>
              <w:adjustRightInd/>
              <w:snapToGrid/>
              <w:spacing w:line="240" w:lineRule="auto"/>
              <w:ind w:firstLine="0" w:firstLineChars="0"/>
              <w:jc w:val="center"/>
              <w:rPr>
                <w:rFonts w:hint="eastAsia"/>
                <w:color w:val="000000"/>
                <w:sz w:val="21"/>
                <w:szCs w:val="21"/>
              </w:rPr>
            </w:pPr>
            <w:r>
              <w:rPr>
                <w:color w:val="000000"/>
                <w:sz w:val="21"/>
                <w:szCs w:val="21"/>
              </w:rPr>
              <w:t>0.00</w:t>
            </w:r>
          </w:p>
        </w:tc>
        <w:tc>
          <w:tcPr>
            <w:tcW w:w="730" w:type="pct"/>
            <w:shd w:val="clear" w:color="auto" w:fill="auto"/>
            <w:noWrap/>
            <w:vAlign w:val="center"/>
          </w:tcPr>
          <w:p>
            <w:pPr>
              <w:widowControl/>
              <w:adjustRightInd/>
              <w:snapToGrid/>
              <w:spacing w:line="240" w:lineRule="auto"/>
              <w:ind w:firstLine="0" w:firstLineChars="0"/>
              <w:jc w:val="center"/>
              <w:rPr>
                <w:rFonts w:hint="eastAsia"/>
                <w:color w:val="000000"/>
                <w:sz w:val="21"/>
                <w:szCs w:val="21"/>
              </w:rPr>
            </w:pPr>
            <w:r>
              <w:rPr>
                <w:color w:val="00000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三</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3</w:t>
            </w:r>
            <w:r>
              <w:rPr>
                <w:rFonts w:hint="eastAsia"/>
                <w:color w:val="000000"/>
                <w:sz w:val="21"/>
                <w:szCs w:val="21"/>
              </w:rPr>
              <w:t>年高标准农田改造项目</w:t>
            </w:r>
          </w:p>
        </w:tc>
        <w:tc>
          <w:tcPr>
            <w:tcW w:w="731"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6494.00 </w:t>
            </w:r>
          </w:p>
        </w:tc>
        <w:tc>
          <w:tcPr>
            <w:tcW w:w="942"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306.00</w:t>
            </w:r>
          </w:p>
        </w:tc>
        <w:tc>
          <w:tcPr>
            <w:tcW w:w="730"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6800.00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四</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4</w:t>
            </w:r>
            <w:r>
              <w:rPr>
                <w:rFonts w:hint="eastAsia"/>
                <w:color w:val="000000"/>
                <w:sz w:val="21"/>
                <w:szCs w:val="21"/>
              </w:rPr>
              <w:t>年高标准农田改造项目</w:t>
            </w:r>
          </w:p>
        </w:tc>
        <w:tc>
          <w:tcPr>
            <w:tcW w:w="731"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6494.00 </w:t>
            </w:r>
          </w:p>
        </w:tc>
        <w:tc>
          <w:tcPr>
            <w:tcW w:w="942"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306.00</w:t>
            </w:r>
          </w:p>
        </w:tc>
        <w:tc>
          <w:tcPr>
            <w:tcW w:w="730"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6800.00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五</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5</w:t>
            </w:r>
            <w:r>
              <w:rPr>
                <w:rFonts w:hint="eastAsia"/>
                <w:color w:val="000000"/>
                <w:sz w:val="21"/>
                <w:szCs w:val="21"/>
              </w:rPr>
              <w:t>年高标准农田改造项目</w:t>
            </w:r>
          </w:p>
        </w:tc>
        <w:tc>
          <w:tcPr>
            <w:tcW w:w="731"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6494.00 </w:t>
            </w:r>
          </w:p>
        </w:tc>
        <w:tc>
          <w:tcPr>
            <w:tcW w:w="942"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306.00</w:t>
            </w:r>
          </w:p>
        </w:tc>
        <w:tc>
          <w:tcPr>
            <w:tcW w:w="730"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6800.00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六</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6</w:t>
            </w:r>
            <w:r>
              <w:rPr>
                <w:rFonts w:hint="eastAsia"/>
                <w:color w:val="000000"/>
                <w:sz w:val="21"/>
                <w:szCs w:val="21"/>
              </w:rPr>
              <w:t>年高标准农田改造项目</w:t>
            </w:r>
          </w:p>
        </w:tc>
        <w:tc>
          <w:tcPr>
            <w:tcW w:w="731"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12988.00 </w:t>
            </w:r>
          </w:p>
        </w:tc>
        <w:tc>
          <w:tcPr>
            <w:tcW w:w="942"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612.00</w:t>
            </w:r>
          </w:p>
        </w:tc>
        <w:tc>
          <w:tcPr>
            <w:tcW w:w="730"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13600.00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七</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7</w:t>
            </w:r>
            <w:r>
              <w:rPr>
                <w:rFonts w:hint="eastAsia"/>
                <w:color w:val="000000"/>
                <w:sz w:val="21"/>
                <w:szCs w:val="21"/>
              </w:rPr>
              <w:t>年高标准农田改造项目</w:t>
            </w:r>
          </w:p>
        </w:tc>
        <w:tc>
          <w:tcPr>
            <w:tcW w:w="731"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9741.00 </w:t>
            </w:r>
          </w:p>
        </w:tc>
        <w:tc>
          <w:tcPr>
            <w:tcW w:w="942"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459.00</w:t>
            </w:r>
          </w:p>
        </w:tc>
        <w:tc>
          <w:tcPr>
            <w:tcW w:w="730"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10200.00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八</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8</w:t>
            </w:r>
            <w:r>
              <w:rPr>
                <w:rFonts w:hint="eastAsia"/>
                <w:color w:val="000000"/>
                <w:sz w:val="21"/>
                <w:szCs w:val="21"/>
              </w:rPr>
              <w:t>年高标准农田改造项目</w:t>
            </w:r>
          </w:p>
        </w:tc>
        <w:tc>
          <w:tcPr>
            <w:tcW w:w="731"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9741.00 </w:t>
            </w:r>
          </w:p>
        </w:tc>
        <w:tc>
          <w:tcPr>
            <w:tcW w:w="942"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459.00</w:t>
            </w:r>
          </w:p>
        </w:tc>
        <w:tc>
          <w:tcPr>
            <w:tcW w:w="730"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10200.00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九</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镇赉县202</w:t>
            </w:r>
            <w:r>
              <w:rPr>
                <w:color w:val="000000"/>
                <w:sz w:val="21"/>
                <w:szCs w:val="21"/>
              </w:rPr>
              <w:t>9</w:t>
            </w:r>
            <w:r>
              <w:rPr>
                <w:rFonts w:hint="eastAsia"/>
                <w:color w:val="000000"/>
                <w:sz w:val="21"/>
                <w:szCs w:val="21"/>
              </w:rPr>
              <w:t>年高标准农田改造项目</w:t>
            </w:r>
          </w:p>
        </w:tc>
        <w:tc>
          <w:tcPr>
            <w:tcW w:w="731"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9741.00 </w:t>
            </w:r>
          </w:p>
        </w:tc>
        <w:tc>
          <w:tcPr>
            <w:tcW w:w="942"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459.00</w:t>
            </w:r>
          </w:p>
        </w:tc>
        <w:tc>
          <w:tcPr>
            <w:tcW w:w="730"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10200.00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61" w:type="pct"/>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十</w:t>
            </w:r>
          </w:p>
        </w:tc>
        <w:tc>
          <w:tcPr>
            <w:tcW w:w="2336" w:type="pct"/>
            <w:shd w:val="clear" w:color="auto" w:fill="auto"/>
            <w:noWrap/>
            <w:vAlign w:val="center"/>
          </w:tcPr>
          <w:p>
            <w:pPr>
              <w:widowControl/>
              <w:adjustRightInd/>
              <w:snapToGrid/>
              <w:spacing w:line="240" w:lineRule="auto"/>
              <w:ind w:firstLine="0" w:firstLineChars="0"/>
              <w:jc w:val="center"/>
              <w:rPr>
                <w:rFonts w:hint="eastAsia" w:ascii="宋体" w:hAnsi="宋体" w:cs="宋体"/>
                <w:snapToGrid/>
                <w:color w:val="000000"/>
                <w:sz w:val="21"/>
                <w:szCs w:val="21"/>
              </w:rPr>
            </w:pPr>
            <w:r>
              <w:rPr>
                <w:rFonts w:hint="eastAsia"/>
                <w:color w:val="000000"/>
                <w:sz w:val="21"/>
                <w:szCs w:val="21"/>
              </w:rPr>
              <w:t>镇赉县20</w:t>
            </w:r>
            <w:r>
              <w:rPr>
                <w:color w:val="000000"/>
                <w:sz w:val="21"/>
                <w:szCs w:val="21"/>
              </w:rPr>
              <w:t>30</w:t>
            </w:r>
            <w:r>
              <w:rPr>
                <w:rFonts w:hint="eastAsia"/>
                <w:color w:val="000000"/>
                <w:sz w:val="21"/>
                <w:szCs w:val="21"/>
              </w:rPr>
              <w:t>年高标准农田改造项目</w:t>
            </w:r>
          </w:p>
        </w:tc>
        <w:tc>
          <w:tcPr>
            <w:tcW w:w="731"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 xml:space="preserve">6494.00 </w:t>
            </w:r>
          </w:p>
        </w:tc>
        <w:tc>
          <w:tcPr>
            <w:tcW w:w="942"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306.00</w:t>
            </w:r>
          </w:p>
        </w:tc>
        <w:tc>
          <w:tcPr>
            <w:tcW w:w="730" w:type="pct"/>
            <w:shd w:val="clear" w:color="auto" w:fill="auto"/>
            <w:noWrap/>
            <w:vAlign w:val="center"/>
          </w:tcPr>
          <w:p>
            <w:pPr>
              <w:widowControl/>
              <w:adjustRightInd/>
              <w:snapToGrid/>
              <w:spacing w:line="240" w:lineRule="auto"/>
              <w:ind w:firstLine="0" w:firstLineChars="0"/>
              <w:jc w:val="center"/>
              <w:rPr>
                <w:color w:val="000000"/>
                <w:sz w:val="21"/>
                <w:szCs w:val="21"/>
              </w:rPr>
            </w:pPr>
            <w:r>
              <w:rPr>
                <w:color w:val="000000"/>
                <w:sz w:val="21"/>
                <w:szCs w:val="21"/>
              </w:rPr>
              <w:t>6800.00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2597" w:type="pct"/>
            <w:gridSpan w:val="2"/>
            <w:shd w:val="clear" w:color="auto" w:fill="auto"/>
            <w:noWrap/>
            <w:vAlign w:val="center"/>
          </w:tcPr>
          <w:p>
            <w:pPr>
              <w:widowControl/>
              <w:adjustRightInd/>
              <w:snapToGrid/>
              <w:spacing w:line="240" w:lineRule="auto"/>
              <w:ind w:firstLine="0" w:firstLineChars="0"/>
              <w:jc w:val="center"/>
              <w:rPr>
                <w:rFonts w:hint="eastAsia" w:ascii="宋体" w:hAnsi="宋体" w:cs="宋体"/>
                <w:b/>
                <w:bCs/>
                <w:snapToGrid/>
                <w:color w:val="000000"/>
                <w:sz w:val="21"/>
                <w:szCs w:val="21"/>
              </w:rPr>
            </w:pPr>
            <w:r>
              <w:rPr>
                <w:rFonts w:hint="eastAsia"/>
                <w:b/>
                <w:bCs/>
                <w:color w:val="000000"/>
                <w:sz w:val="21"/>
                <w:szCs w:val="21"/>
              </w:rPr>
              <w:t>合计：</w:t>
            </w:r>
          </w:p>
        </w:tc>
        <w:tc>
          <w:tcPr>
            <w:tcW w:w="731" w:type="pct"/>
            <w:shd w:val="clear" w:color="auto" w:fill="auto"/>
            <w:noWrap/>
            <w:vAlign w:val="center"/>
          </w:tcPr>
          <w:p>
            <w:pPr>
              <w:widowControl/>
              <w:adjustRightInd/>
              <w:snapToGrid/>
              <w:spacing w:line="240" w:lineRule="auto"/>
              <w:ind w:firstLine="0" w:firstLineChars="0"/>
              <w:jc w:val="center"/>
              <w:rPr>
                <w:b/>
                <w:bCs/>
                <w:color w:val="000000"/>
                <w:sz w:val="21"/>
                <w:szCs w:val="21"/>
              </w:rPr>
            </w:pPr>
            <w:r>
              <w:rPr>
                <w:b/>
                <w:bCs/>
                <w:color w:val="000000"/>
                <w:sz w:val="21"/>
                <w:szCs w:val="21"/>
              </w:rPr>
              <w:t xml:space="preserve">68187.00 </w:t>
            </w:r>
          </w:p>
        </w:tc>
        <w:tc>
          <w:tcPr>
            <w:tcW w:w="942" w:type="pct"/>
            <w:shd w:val="clear" w:color="auto" w:fill="auto"/>
            <w:noWrap/>
            <w:vAlign w:val="center"/>
          </w:tcPr>
          <w:p>
            <w:pPr>
              <w:widowControl/>
              <w:adjustRightInd/>
              <w:snapToGrid/>
              <w:spacing w:line="240" w:lineRule="auto"/>
              <w:ind w:firstLine="0" w:firstLineChars="0"/>
              <w:jc w:val="center"/>
              <w:rPr>
                <w:b/>
                <w:bCs/>
                <w:color w:val="000000"/>
                <w:sz w:val="21"/>
                <w:szCs w:val="21"/>
              </w:rPr>
            </w:pPr>
            <w:r>
              <w:rPr>
                <w:b/>
                <w:bCs/>
                <w:color w:val="000000"/>
                <w:sz w:val="21"/>
                <w:szCs w:val="21"/>
              </w:rPr>
              <w:t xml:space="preserve">3213.00 </w:t>
            </w:r>
          </w:p>
        </w:tc>
        <w:tc>
          <w:tcPr>
            <w:tcW w:w="730" w:type="pct"/>
            <w:shd w:val="clear" w:color="auto" w:fill="auto"/>
            <w:noWrap/>
            <w:vAlign w:val="center"/>
          </w:tcPr>
          <w:p>
            <w:pPr>
              <w:widowControl/>
              <w:adjustRightInd/>
              <w:snapToGrid/>
              <w:spacing w:line="240" w:lineRule="auto"/>
              <w:ind w:firstLine="0" w:firstLineChars="0"/>
              <w:jc w:val="center"/>
              <w:rPr>
                <w:b/>
                <w:bCs/>
                <w:color w:val="000000"/>
                <w:sz w:val="21"/>
                <w:szCs w:val="21"/>
              </w:rPr>
            </w:pPr>
            <w:r>
              <w:rPr>
                <w:b/>
                <w:bCs/>
                <w:color w:val="000000"/>
                <w:sz w:val="21"/>
                <w:szCs w:val="21"/>
              </w:rPr>
              <w:t xml:space="preserve">71400.00 </w:t>
            </w:r>
          </w:p>
        </w:tc>
      </w:tr>
    </w:tbl>
    <w:p>
      <w:pPr>
        <w:pStyle w:val="3"/>
        <w:rPr>
          <w:color w:val="000000"/>
        </w:rPr>
      </w:pPr>
      <w:bookmarkStart w:id="60" w:name="_Toc119750202"/>
      <w:bookmarkStart w:id="61" w:name="_Toc97667864"/>
      <w:r>
        <w:rPr>
          <w:color w:val="000000"/>
        </w:rPr>
        <w:t>6.3</w:t>
      </w:r>
      <w:r>
        <w:rPr>
          <w:rFonts w:hint="eastAsia"/>
          <w:color w:val="000000"/>
        </w:rPr>
        <w:t>高标准农田示范区建设项目</w:t>
      </w:r>
      <w:r>
        <w:rPr>
          <w:color w:val="000000"/>
        </w:rPr>
        <w:t>资金</w:t>
      </w:r>
      <w:bookmarkEnd w:id="60"/>
    </w:p>
    <w:p>
      <w:pPr>
        <w:ind w:firstLine="480"/>
        <w:rPr>
          <w:color w:val="000000"/>
        </w:rPr>
      </w:pPr>
      <w:r>
        <w:rPr>
          <w:rFonts w:hint="eastAsia"/>
          <w:color w:val="000000"/>
        </w:rPr>
        <w:t>其中规划高标准农田示范区建设项目1项，建设面积1</w:t>
      </w:r>
      <w:r>
        <w:rPr>
          <w:color w:val="000000"/>
        </w:rPr>
        <w:t>.5</w:t>
      </w:r>
      <w:r>
        <w:rPr>
          <w:rFonts w:hint="eastAsia"/>
          <w:color w:val="000000"/>
        </w:rPr>
        <w:t>万亩，规划匡算总投资5</w:t>
      </w:r>
      <w:r>
        <w:rPr>
          <w:color w:val="000000"/>
        </w:rPr>
        <w:t>250.00</w:t>
      </w:r>
      <w:r>
        <w:rPr>
          <w:rFonts w:hint="eastAsia"/>
          <w:color w:val="000000"/>
        </w:rPr>
        <w:t>万元，其中建安工程5</w:t>
      </w:r>
      <w:r>
        <w:rPr>
          <w:color w:val="000000"/>
        </w:rPr>
        <w:t>013.75</w:t>
      </w:r>
      <w:r>
        <w:rPr>
          <w:rFonts w:hint="eastAsia"/>
          <w:color w:val="000000"/>
        </w:rPr>
        <w:t>万元，独立费用</w:t>
      </w:r>
      <w:r>
        <w:rPr>
          <w:color w:val="000000"/>
        </w:rPr>
        <w:t>236.25万元。</w:t>
      </w:r>
    </w:p>
    <w:p>
      <w:pPr>
        <w:pStyle w:val="3"/>
        <w:rPr>
          <w:color w:val="000000"/>
        </w:rPr>
      </w:pPr>
      <w:bookmarkStart w:id="62" w:name="_Toc119750203"/>
      <w:r>
        <w:rPr>
          <w:color w:val="000000"/>
        </w:rPr>
        <w:t>6.4绿色农田</w:t>
      </w:r>
      <w:r>
        <w:rPr>
          <w:rFonts w:hint="eastAsia"/>
          <w:color w:val="000000"/>
        </w:rPr>
        <w:t>生态</w:t>
      </w:r>
      <w:r>
        <w:rPr>
          <w:color w:val="000000"/>
        </w:rPr>
        <w:t>建设示范区资金</w:t>
      </w:r>
      <w:bookmarkEnd w:id="61"/>
      <w:bookmarkEnd w:id="62"/>
    </w:p>
    <w:p>
      <w:pPr>
        <w:ind w:firstLine="480"/>
        <w:rPr>
          <w:rFonts w:hint="eastAsia"/>
          <w:color w:val="000000"/>
        </w:rPr>
      </w:pPr>
      <w:r>
        <w:rPr>
          <w:rFonts w:hint="eastAsia"/>
          <w:color w:val="000000"/>
        </w:rPr>
        <w:t>其中规划绿色农田生态示范区项目1项，建设面积1</w:t>
      </w:r>
      <w:r>
        <w:rPr>
          <w:color w:val="000000"/>
        </w:rPr>
        <w:t>.0</w:t>
      </w:r>
      <w:r>
        <w:rPr>
          <w:rFonts w:hint="eastAsia"/>
          <w:color w:val="000000"/>
        </w:rPr>
        <w:t>万亩，规划匡算总投资3</w:t>
      </w:r>
      <w:r>
        <w:rPr>
          <w:color w:val="000000"/>
        </w:rPr>
        <w:t>000.00</w:t>
      </w:r>
      <w:r>
        <w:rPr>
          <w:rFonts w:hint="eastAsia"/>
          <w:color w:val="000000"/>
        </w:rPr>
        <w:t>万元，其中建安工程</w:t>
      </w:r>
      <w:r>
        <w:rPr>
          <w:color w:val="000000"/>
        </w:rPr>
        <w:t>2865.00</w:t>
      </w:r>
      <w:r>
        <w:rPr>
          <w:rFonts w:hint="eastAsia"/>
          <w:color w:val="000000"/>
        </w:rPr>
        <w:t>万元，独立费用</w:t>
      </w:r>
      <w:r>
        <w:rPr>
          <w:color w:val="000000"/>
        </w:rPr>
        <w:t>135.00万元。</w:t>
      </w:r>
    </w:p>
    <w:p>
      <w:pPr>
        <w:ind w:firstLine="0" w:firstLineChars="0"/>
        <w:rPr>
          <w:rFonts w:hint="eastAsia"/>
          <w:color w:val="000000"/>
        </w:rPr>
        <w:sectPr>
          <w:pgSz w:w="11907" w:h="16840"/>
          <w:pgMar w:top="1418" w:right="1418" w:bottom="1418" w:left="1701" w:header="851" w:footer="1077" w:gutter="0"/>
          <w:pgNumType w:fmt="decimal"/>
          <w:cols w:space="720" w:num="1"/>
          <w:docGrid w:linePitch="312" w:charSpace="0"/>
        </w:sectPr>
      </w:pPr>
    </w:p>
    <w:p>
      <w:pPr>
        <w:pStyle w:val="2"/>
        <w:rPr>
          <w:color w:val="000000"/>
        </w:rPr>
      </w:pPr>
      <w:bookmarkStart w:id="63" w:name="_Toc119750204"/>
      <w:r>
        <w:rPr>
          <w:color w:val="000000"/>
        </w:rPr>
        <w:t>7</w:t>
      </w:r>
      <w:r>
        <w:rPr>
          <w:rFonts w:hint="eastAsia"/>
          <w:color w:val="000000"/>
        </w:rPr>
        <w:t>建设监管和后续管护</w:t>
      </w:r>
      <w:bookmarkEnd w:id="63"/>
    </w:p>
    <w:p>
      <w:pPr>
        <w:pStyle w:val="3"/>
        <w:rPr>
          <w:color w:val="000000"/>
        </w:rPr>
      </w:pPr>
      <w:bookmarkStart w:id="64" w:name="_Toc119750205"/>
      <w:r>
        <w:rPr>
          <w:color w:val="000000"/>
        </w:rPr>
        <w:t>7.1</w:t>
      </w:r>
      <w:r>
        <w:rPr>
          <w:rFonts w:hint="eastAsia"/>
          <w:color w:val="000000"/>
        </w:rPr>
        <w:t>强化质量管理</w:t>
      </w:r>
      <w:bookmarkEnd w:id="64"/>
    </w:p>
    <w:p>
      <w:pPr>
        <w:ind w:firstLine="480"/>
        <w:rPr>
          <w:rFonts w:ascii="宋体" w:hAnsi="宋体"/>
          <w:color w:val="000000"/>
        </w:rPr>
      </w:pPr>
      <w:r>
        <w:rPr>
          <w:rFonts w:hint="eastAsia" w:ascii="宋体" w:hAnsi="宋体"/>
          <w:color w:val="000000"/>
        </w:rPr>
        <w:t>贯彻落实《高标准农田建设质量管理办法（试行）》，严格按照《吉林省农田建设项目管理实施办法》相关规定，统一组织项目实施，全面推行“项目法人制、招标投标制、工程监理制、合同管理制”。探索市场化运作管理模式，研究创新社会资本参与高标准农田建设机制，全面加强高标准农田建设管理。严格执行相关建设标准及规范，落实工程质量管理责任。</w:t>
      </w:r>
    </w:p>
    <w:p>
      <w:pPr>
        <w:ind w:firstLine="480"/>
        <w:rPr>
          <w:rFonts w:hint="eastAsia" w:ascii="宋体" w:hAnsi="宋体"/>
          <w:color w:val="000000"/>
        </w:rPr>
      </w:pPr>
      <w:r>
        <w:rPr>
          <w:rFonts w:hint="eastAsia" w:ascii="宋体" w:hAnsi="宋体"/>
          <w:color w:val="000000"/>
        </w:rPr>
        <w:t>(</w:t>
      </w:r>
      <w:r>
        <w:rPr>
          <w:rFonts w:ascii="宋体" w:hAnsi="宋体"/>
          <w:color w:val="000000"/>
        </w:rPr>
        <w:t>1</w:t>
      </w:r>
      <w:r>
        <w:rPr>
          <w:rFonts w:hint="eastAsia" w:ascii="宋体" w:hAnsi="宋体"/>
          <w:color w:val="000000"/>
        </w:rPr>
        <w:t>)实行项目法人制</w:t>
      </w:r>
    </w:p>
    <w:p>
      <w:pPr>
        <w:ind w:firstLine="480"/>
        <w:rPr>
          <w:rFonts w:ascii="宋体" w:hAnsi="宋体"/>
          <w:color w:val="000000"/>
        </w:rPr>
      </w:pPr>
      <w:r>
        <w:rPr>
          <w:rFonts w:hint="eastAsia" w:ascii="宋体" w:hAnsi="宋体"/>
          <w:color w:val="000000"/>
        </w:rPr>
        <w:t>镇赉县高标准农田建设领导小组办公室作为项目法人，对项目的策划、资金筹措、建设实施、生产经营、偿还债务和资产的保值增值实行全过程负责。对高标准农田建设质量负总责，承担项目测绘、勘察、设计、施工、监理、材料（设备或构配件）供应、评估评审等任务的单位依照法律法规和合同约定对各自承担的技术服务、工程和产品质量负责。</w:t>
      </w:r>
    </w:p>
    <w:p>
      <w:pPr>
        <w:ind w:firstLine="480"/>
        <w:rPr>
          <w:rFonts w:hint="eastAsia" w:ascii="宋体" w:hAnsi="宋体"/>
          <w:color w:val="000000"/>
        </w:rPr>
      </w:pPr>
      <w:r>
        <w:rPr>
          <w:rFonts w:hint="eastAsia" w:ascii="宋体" w:hAnsi="宋体"/>
          <w:color w:val="000000"/>
        </w:rPr>
        <w:t>(</w:t>
      </w:r>
      <w:r>
        <w:rPr>
          <w:rFonts w:ascii="宋体" w:hAnsi="宋体"/>
          <w:color w:val="000000"/>
        </w:rPr>
        <w:t>2</w:t>
      </w:r>
      <w:r>
        <w:rPr>
          <w:rFonts w:hint="eastAsia" w:ascii="宋体" w:hAnsi="宋体"/>
          <w:color w:val="000000"/>
        </w:rPr>
        <w:t>)实行工程招标投标制</w:t>
      </w:r>
    </w:p>
    <w:p>
      <w:pPr>
        <w:ind w:firstLine="480"/>
        <w:rPr>
          <w:rFonts w:hint="eastAsia" w:ascii="宋体" w:hAnsi="宋体"/>
          <w:color w:val="000000"/>
        </w:rPr>
      </w:pPr>
      <w:r>
        <w:rPr>
          <w:rFonts w:hint="eastAsia" w:ascii="宋体" w:hAnsi="宋体"/>
          <w:color w:val="000000"/>
        </w:rPr>
        <w:t>由镇赉县农业农村局对工程内容逐一进行分解，进行招标公告，然后根据《招标投标法》分标段向社会公开招、投标，公开、公正、合理的选择施工单位。竞投方按照工程质量和施工要求，拟定工期、报价和质量标准等方案，最终由项目领导小组根据以下程序择优选定中标单位：招标公告—报名—资格审查—招标答疑—施工投标—公开标书评议—确定中标单位。</w:t>
      </w:r>
    </w:p>
    <w:p>
      <w:pPr>
        <w:ind w:firstLine="480"/>
        <w:rPr>
          <w:rFonts w:hint="eastAsia" w:ascii="宋体" w:hAnsi="宋体"/>
          <w:color w:val="000000"/>
        </w:rPr>
      </w:pPr>
      <w:r>
        <w:rPr>
          <w:rFonts w:hint="eastAsia" w:ascii="宋体" w:hAnsi="宋体"/>
          <w:color w:val="000000"/>
        </w:rPr>
        <w:t>(</w:t>
      </w:r>
      <w:r>
        <w:rPr>
          <w:rFonts w:ascii="宋体" w:hAnsi="宋体"/>
          <w:color w:val="000000"/>
        </w:rPr>
        <w:t>3</w:t>
      </w:r>
      <w:r>
        <w:rPr>
          <w:rFonts w:hint="eastAsia" w:ascii="宋体" w:hAnsi="宋体"/>
          <w:color w:val="000000"/>
        </w:rPr>
        <w:t>)实行工程监理制</w:t>
      </w:r>
    </w:p>
    <w:p>
      <w:pPr>
        <w:ind w:firstLine="480"/>
        <w:rPr>
          <w:rFonts w:hint="eastAsia" w:ascii="宋体" w:hAnsi="宋体"/>
          <w:color w:val="000000"/>
        </w:rPr>
      </w:pPr>
      <w:r>
        <w:rPr>
          <w:rFonts w:hint="eastAsia" w:ascii="宋体" w:hAnsi="宋体"/>
          <w:color w:val="000000"/>
        </w:rPr>
        <w:t>镇赉县农业农村局通过招投标方式选择具备相应资质的监理单位，对所有工程的建设内容、施工进度、工程质量等进行监理。</w:t>
      </w:r>
    </w:p>
    <w:p>
      <w:pPr>
        <w:ind w:firstLine="480"/>
        <w:rPr>
          <w:rFonts w:hint="eastAsia" w:ascii="宋体" w:hAnsi="宋体"/>
          <w:color w:val="000000"/>
        </w:rPr>
      </w:pPr>
      <w:r>
        <w:rPr>
          <w:rFonts w:hint="eastAsia" w:ascii="宋体" w:hAnsi="宋体"/>
          <w:color w:val="000000"/>
        </w:rPr>
        <w:t>(</w:t>
      </w:r>
      <w:r>
        <w:rPr>
          <w:rFonts w:ascii="宋体" w:hAnsi="宋体"/>
          <w:color w:val="000000"/>
        </w:rPr>
        <w:t>4</w:t>
      </w:r>
      <w:r>
        <w:rPr>
          <w:rFonts w:hint="eastAsia" w:ascii="宋体" w:hAnsi="宋体"/>
          <w:color w:val="000000"/>
        </w:rPr>
        <w:t>)实行合同管理制</w:t>
      </w:r>
    </w:p>
    <w:p>
      <w:pPr>
        <w:ind w:firstLine="480"/>
        <w:rPr>
          <w:rFonts w:ascii="宋体" w:hAnsi="宋体"/>
          <w:color w:val="000000"/>
        </w:rPr>
      </w:pPr>
      <w:r>
        <w:rPr>
          <w:rFonts w:hint="eastAsia" w:ascii="宋体" w:hAnsi="宋体"/>
          <w:color w:val="000000"/>
        </w:rPr>
        <w:t>项目实施单位与勘察设计单位、施工单位、监理单位签订勘察设计、施工、监理合同，合同由专人管理，签发工程承建合同和设备购置合同必须由镇赉县农业农村局盖章，合同纠纷调处按《合同法》规定程序进行。</w:t>
      </w:r>
    </w:p>
    <w:p>
      <w:pPr>
        <w:ind w:firstLine="480"/>
        <w:rPr>
          <w:rFonts w:ascii="宋体" w:hAnsi="宋体"/>
          <w:color w:val="000000"/>
        </w:rPr>
      </w:pPr>
      <w:r>
        <w:rPr>
          <w:rFonts w:hint="eastAsia" w:ascii="宋体" w:hAnsi="宋体"/>
          <w:color w:val="000000"/>
        </w:rPr>
        <w:t>依据全省已建成的高标准农田区位特点，坚持科学布点、持续监测，建立耕地质量监测网络，长效跟踪监测耕地质量变化。按照《耕地质量等级》（GB/T33469）国家标准和技术规范比较实施区域高标准农田建设前后耕地质量等级变化以及后期的年度等级更新评价，逐步实现详尽的土壤监测数字档案和数据共享，提升区域农田粮食综合生产能力研究水平。尊重农民意愿，维护农民权益，保障农民知情权、参与权和监督权，鼓励农民参与组织中的重大决策，扩大决策主体，强化决策可行性和实用性。及时公开项目建设信息，自觉接受社会和群众监督，确保工程质量安全。</w:t>
      </w:r>
    </w:p>
    <w:p>
      <w:pPr>
        <w:pStyle w:val="4"/>
        <w:rPr>
          <w:color w:val="000000"/>
        </w:rPr>
      </w:pPr>
      <w:r>
        <w:rPr>
          <w:color w:val="000000"/>
        </w:rPr>
        <w:t>7.1.1组织机构设置</w:t>
      </w:r>
    </w:p>
    <w:p>
      <w:pPr>
        <w:pStyle w:val="5"/>
        <w:rPr>
          <w:color w:val="000000"/>
        </w:rPr>
      </w:pPr>
      <w:r>
        <w:rPr>
          <w:color w:val="000000"/>
        </w:rPr>
        <w:t>7.1.1.1</w:t>
      </w:r>
      <w:r>
        <w:rPr>
          <w:rFonts w:ascii="宋体" w:hAnsi="宋体"/>
          <w:color w:val="000000"/>
        </w:rPr>
        <w:t>实施组织形式</w:t>
      </w:r>
    </w:p>
    <w:p>
      <w:pPr>
        <w:ind w:firstLine="480"/>
        <w:rPr>
          <w:color w:val="000000"/>
        </w:rPr>
      </w:pPr>
      <w:r>
        <w:rPr>
          <w:rFonts w:ascii="宋体" w:hAnsi="宋体"/>
          <w:color w:val="000000"/>
        </w:rPr>
        <w:t>本项目的实施主体由镇赉县农业农村局承担，严格按照行业相关要求和工程建设标准，运用系统的观点、方法和理论，对项目涉及的全部工作进行有效的管理。项目的组织机构包括镇赉县农业农村局、设计</w:t>
      </w:r>
      <w:r>
        <w:rPr>
          <w:rFonts w:hint="eastAsia" w:ascii="宋体" w:hAnsi="宋体"/>
          <w:color w:val="000000"/>
        </w:rPr>
        <w:t>单位</w:t>
      </w:r>
      <w:r>
        <w:rPr>
          <w:rFonts w:ascii="宋体" w:hAnsi="宋体"/>
          <w:color w:val="000000"/>
        </w:rPr>
        <w:t>、项目施工单位、工程监理机构、监督检查与验收机构等。</w:t>
      </w:r>
    </w:p>
    <w:p>
      <w:pPr>
        <w:pStyle w:val="5"/>
        <w:rPr>
          <w:color w:val="000000"/>
        </w:rPr>
      </w:pPr>
      <w:r>
        <w:rPr>
          <w:color w:val="000000"/>
        </w:rPr>
        <w:t>7.1.1.2</w:t>
      </w:r>
      <w:r>
        <w:rPr>
          <w:rFonts w:ascii="宋体" w:hAnsi="宋体"/>
          <w:color w:val="000000"/>
        </w:rPr>
        <w:t>各部门工作职责</w:t>
      </w:r>
    </w:p>
    <w:p>
      <w:pPr>
        <w:ind w:firstLine="480"/>
        <w:rPr>
          <w:color w:val="000000"/>
        </w:rPr>
      </w:pPr>
      <w:r>
        <w:rPr>
          <w:rFonts w:ascii="宋体" w:hAnsi="宋体"/>
          <w:color w:val="000000"/>
        </w:rPr>
        <w:t>项目法人：</w:t>
      </w:r>
      <w:r>
        <w:rPr>
          <w:rFonts w:hint="eastAsia" w:ascii="宋体" w:hAnsi="宋体"/>
          <w:color w:val="000000"/>
        </w:rPr>
        <w:t>高标准农田均</w:t>
      </w:r>
      <w:r>
        <w:rPr>
          <w:rFonts w:ascii="宋体" w:hAnsi="宋体"/>
          <w:color w:val="000000"/>
        </w:rPr>
        <w:t>由</w:t>
      </w:r>
      <w:r>
        <w:rPr>
          <w:rFonts w:hint="eastAsia" w:ascii="宋体" w:hAnsi="宋体"/>
          <w:color w:val="000000"/>
        </w:rPr>
        <w:t>镇赉县高标准农田建设领导小组办公室</w:t>
      </w:r>
      <w:r>
        <w:rPr>
          <w:rFonts w:ascii="宋体" w:hAnsi="宋体"/>
          <w:color w:val="000000"/>
        </w:rPr>
        <w:t>作为项目法人，由主管局长任办公室主任。工程应由领导小组统一组织、协调，落实各部门职责、权限，并负责对外纵横关系的协调。施工单位、设计单位、设备生产单位、物资供应单位以及监理单位应有各自的项目管理，运用现代化管理方法和科学技术加以综合运用，合理组织，科学安排，使该项目圆满完成。</w:t>
      </w:r>
    </w:p>
    <w:p>
      <w:pPr>
        <w:widowControl/>
        <w:ind w:firstLine="360" w:firstLineChars="150"/>
        <w:rPr>
          <w:color w:val="000000"/>
        </w:rPr>
      </w:pPr>
      <w:r>
        <w:rPr>
          <w:rFonts w:ascii="宋体" w:hAnsi="宋体"/>
          <w:color w:val="000000"/>
        </w:rPr>
        <w:t>设计</w:t>
      </w:r>
      <w:r>
        <w:rPr>
          <w:rFonts w:hint="eastAsia" w:ascii="宋体" w:hAnsi="宋体"/>
          <w:color w:val="000000"/>
        </w:rPr>
        <w:t>单位</w:t>
      </w:r>
      <w:r>
        <w:rPr>
          <w:rFonts w:ascii="宋体" w:hAnsi="宋体"/>
          <w:color w:val="000000"/>
        </w:rPr>
        <w:t>：</w:t>
      </w:r>
      <w:r>
        <w:rPr>
          <w:rFonts w:hint="eastAsia" w:ascii="宋体" w:hAnsi="宋体"/>
          <w:color w:val="000000"/>
        </w:rPr>
        <w:t>按照规范要求对高标准农田建设项目进行勘察设计，项目批复后由设计单位</w:t>
      </w:r>
      <w:r>
        <w:rPr>
          <w:rFonts w:ascii="宋体" w:hAnsi="宋体"/>
          <w:color w:val="000000"/>
        </w:rPr>
        <w:t>提供施工期间的技术支持，保障施工的顺利进行。</w:t>
      </w:r>
    </w:p>
    <w:p>
      <w:pPr>
        <w:widowControl/>
        <w:ind w:firstLine="360" w:firstLineChars="150"/>
        <w:rPr>
          <w:color w:val="000000"/>
        </w:rPr>
      </w:pPr>
      <w:r>
        <w:rPr>
          <w:rFonts w:ascii="宋体" w:hAnsi="宋体"/>
          <w:color w:val="000000"/>
        </w:rPr>
        <w:t>施工单位：工程施工单位负责设计的具体实施，将原设计与实际相结合，保质保量完成工程建设。</w:t>
      </w:r>
    </w:p>
    <w:p>
      <w:pPr>
        <w:widowControl/>
        <w:ind w:firstLine="360" w:firstLineChars="150"/>
        <w:rPr>
          <w:color w:val="000000"/>
        </w:rPr>
      </w:pPr>
      <w:r>
        <w:rPr>
          <w:rFonts w:ascii="宋体" w:hAnsi="宋体"/>
          <w:color w:val="000000"/>
        </w:rPr>
        <w:t>监理单位：工程监理是指监理单位受项目法人委托，依据有关法律法规、有关技术标准、项目设计文件和工程监理合同及其他工程建设合同，对建设工程的投资、工期和质量实施监督管理的制度。工程监理是实现项目有效管理、控制和协调的重要手段之一。工程监理主要内容包括：控制工程建设的投资、建设工期和工程质量；加强工程建设合同管理，协调有关单位间的工作关系等。工程监理工作涵盖了项目管理的全过程，按项目管理阶段划分，包括施工图设计阶段监理、工程招标阶段监理、施工阶段监理和竣工验收阶段监理等。</w:t>
      </w:r>
    </w:p>
    <w:p>
      <w:pPr>
        <w:pStyle w:val="4"/>
        <w:rPr>
          <w:color w:val="000000"/>
        </w:rPr>
      </w:pPr>
      <w:r>
        <w:rPr>
          <w:color w:val="000000"/>
        </w:rPr>
        <w:t>7.1.2</w:t>
      </w:r>
      <w:r>
        <w:rPr>
          <w:rFonts w:ascii="宋体" w:hAnsi="宋体"/>
          <w:color w:val="000000"/>
        </w:rPr>
        <w:t>建设管理措施</w:t>
      </w:r>
    </w:p>
    <w:p>
      <w:pPr>
        <w:pStyle w:val="5"/>
        <w:rPr>
          <w:color w:val="000000"/>
        </w:rPr>
      </w:pPr>
      <w:r>
        <w:rPr>
          <w:color w:val="000000"/>
        </w:rPr>
        <w:t>7.1.2.1</w:t>
      </w:r>
      <w:r>
        <w:rPr>
          <w:rFonts w:ascii="宋体" w:hAnsi="宋体"/>
          <w:color w:val="000000"/>
        </w:rPr>
        <w:t>项目招标管理</w:t>
      </w:r>
    </w:p>
    <w:p>
      <w:pPr>
        <w:ind w:firstLine="480"/>
        <w:rPr>
          <w:color w:val="000000"/>
        </w:rPr>
      </w:pPr>
      <w:r>
        <w:rPr>
          <w:rFonts w:ascii="宋体" w:hAnsi="宋体"/>
          <w:color w:val="000000"/>
        </w:rPr>
        <w:t>高标准农田项目</w:t>
      </w:r>
      <w:r>
        <w:rPr>
          <w:rFonts w:hint="eastAsia" w:ascii="宋体" w:hAnsi="宋体"/>
          <w:color w:val="000000"/>
        </w:rPr>
        <w:t>均采用公开招标的方式确定设计单位、监理单位及施工单位，</w:t>
      </w:r>
      <w:r>
        <w:rPr>
          <w:rFonts w:ascii="宋体" w:hAnsi="宋体"/>
          <w:color w:val="000000"/>
        </w:rPr>
        <w:t>招标投标基本程序包括：拟订招标方案，确定招标机构或委托代理机构，编制招标文件、资格预审文件和标底，发布招标公告或邀请函，审查投标人资格，组织投标人踏勘现场，接受投标人标书，组织开标、评标，确定中标人，签订工程施工合同。</w:t>
      </w:r>
    </w:p>
    <w:p>
      <w:pPr>
        <w:ind w:firstLine="480"/>
        <w:rPr>
          <w:color w:val="000000"/>
        </w:rPr>
      </w:pPr>
      <w:r>
        <w:rPr>
          <w:rFonts w:ascii="宋体" w:hAnsi="宋体"/>
          <w:color w:val="000000"/>
        </w:rPr>
        <w:t>高标准农田项目依法实行工程招标投标制。根据《中华人民共和国招标投标法》的有关规定，土地调查和项目的勘测、初步设计、施工设计、招标代理机构、监理、施工、决算审核等必须面向社会以招投标或比选等公开竞争方式确定。</w:t>
      </w:r>
    </w:p>
    <w:p>
      <w:pPr>
        <w:ind w:firstLine="480"/>
        <w:rPr>
          <w:color w:val="000000"/>
        </w:rPr>
      </w:pPr>
      <w:r>
        <w:rPr>
          <w:rFonts w:ascii="宋体" w:hAnsi="宋体"/>
          <w:color w:val="000000"/>
        </w:rPr>
        <w:t>所有规模标准以上的项目必须进行招投标。项目区分散的零星辅助性工程应和项目主体工程一并打捆招标。任何单位和个人不得将必须进行招标的项目以比选方式规避或者代替招标。</w:t>
      </w:r>
    </w:p>
    <w:p>
      <w:pPr>
        <w:pStyle w:val="5"/>
        <w:rPr>
          <w:rFonts w:ascii="宋体" w:hAnsi="宋体"/>
          <w:color w:val="000000"/>
        </w:rPr>
      </w:pPr>
      <w:r>
        <w:rPr>
          <w:color w:val="000000"/>
        </w:rPr>
        <w:t>7.1.2.2</w:t>
      </w:r>
      <w:r>
        <w:rPr>
          <w:rFonts w:ascii="宋体" w:hAnsi="宋体"/>
          <w:color w:val="000000"/>
        </w:rPr>
        <w:t>进度控制</w:t>
      </w:r>
    </w:p>
    <w:p>
      <w:pPr>
        <w:ind w:firstLine="480"/>
        <w:rPr>
          <w:color w:val="000000"/>
        </w:rPr>
      </w:pPr>
      <w:r>
        <w:rPr>
          <w:rFonts w:hint="eastAsia"/>
          <w:color w:val="000000"/>
        </w:rPr>
        <w:t>进度控制主要从高标准农田申报、初步设计编制、施工三个方面落实，规划编制并颁布后，我县密切关注吉林省农业农村厅关于高标准农田申报的相关通知文件，及时做好网络申报、纸质材料申报，在高标准农田储备库中及时取得储备批复。在初步设计阶段，提前做好初步设计阶段招投标部署，率先完成勘察设计的招标，在招标过程中明确项目设计的具体要求及完成时间，按照合同约定的设计周期控制设计进度。施工进度主要从以下几个方面控制：</w:t>
      </w:r>
    </w:p>
    <w:p>
      <w:pPr>
        <w:ind w:firstLine="480"/>
        <w:rPr>
          <w:color w:val="000000"/>
        </w:rPr>
      </w:pPr>
      <w:r>
        <w:rPr>
          <w:color w:val="000000"/>
        </w:rPr>
        <w:t>1</w:t>
      </w:r>
      <w:r>
        <w:rPr>
          <w:rFonts w:ascii="宋体" w:hAnsi="宋体"/>
          <w:color w:val="000000"/>
        </w:rPr>
        <w:t>）建立实施进度报表制度</w:t>
      </w:r>
    </w:p>
    <w:p>
      <w:pPr>
        <w:ind w:firstLine="480"/>
        <w:rPr>
          <w:color w:val="000000"/>
        </w:rPr>
      </w:pPr>
      <w:r>
        <w:rPr>
          <w:rFonts w:ascii="宋体" w:hAnsi="宋体"/>
          <w:color w:val="000000"/>
        </w:rPr>
        <w:t>实施单位应定期报送工程实施实际进度报表及有关资料。报表的形成与内容应采用以下方式：提供每日（或周、旬、月）所完成的工作量及资源的配备情况，以供实施进度控制人员用来与计划进度进行比较及对偏差进行分析、调整。关于报表填报周期，可视进度控制要求而定。同时要提供作业状况表，要求能够反映项目实施中各项工作进展情况。</w:t>
      </w:r>
    </w:p>
    <w:p>
      <w:pPr>
        <w:ind w:firstLine="480"/>
        <w:rPr>
          <w:color w:val="000000"/>
        </w:rPr>
      </w:pPr>
      <w:r>
        <w:rPr>
          <w:color w:val="000000"/>
        </w:rPr>
        <w:t>2</w:t>
      </w:r>
      <w:r>
        <w:rPr>
          <w:rFonts w:ascii="宋体" w:hAnsi="宋体"/>
          <w:color w:val="000000"/>
        </w:rPr>
        <w:t>）派出常驻人员，现场进行检查</w:t>
      </w:r>
    </w:p>
    <w:p>
      <w:pPr>
        <w:ind w:firstLine="480"/>
        <w:rPr>
          <w:color w:val="000000"/>
        </w:rPr>
      </w:pPr>
      <w:r>
        <w:rPr>
          <w:rFonts w:ascii="宋体" w:hAnsi="宋体"/>
          <w:color w:val="000000"/>
        </w:rPr>
        <w:t>在工程实施的相应阶段，由项目法人单位和监理单位联合派出指定人员，常驻现场，随时检查各项工作的实施情况及后续工作的准备情况。在对实施进度计划实施情况进行检查时，应检查的内容包括：</w:t>
      </w:r>
      <w:r>
        <w:rPr>
          <w:color w:val="000000"/>
        </w:rPr>
        <w:t>a</w:t>
      </w:r>
      <w:r>
        <w:rPr>
          <w:rFonts w:ascii="宋体" w:hAnsi="宋体"/>
          <w:color w:val="000000"/>
        </w:rPr>
        <w:t>）检查期内实际完成和累计完成工程量；</w:t>
      </w:r>
      <w:r>
        <w:rPr>
          <w:color w:val="000000"/>
        </w:rPr>
        <w:t>b</w:t>
      </w:r>
      <w:r>
        <w:rPr>
          <w:rFonts w:ascii="宋体" w:hAnsi="宋体"/>
          <w:color w:val="000000"/>
        </w:rPr>
        <w:t>）实际参加施工的人力、机械数量及生产效率；</w:t>
      </w:r>
      <w:r>
        <w:rPr>
          <w:color w:val="000000"/>
        </w:rPr>
        <w:t>c</w:t>
      </w:r>
      <w:r>
        <w:rPr>
          <w:rFonts w:ascii="宋体" w:hAnsi="宋体"/>
          <w:color w:val="000000"/>
        </w:rPr>
        <w:t>）窝工人数、窝工机械台班数及其原因分析；</w:t>
      </w:r>
      <w:r>
        <w:rPr>
          <w:color w:val="000000"/>
        </w:rPr>
        <w:t>d</w:t>
      </w:r>
      <w:r>
        <w:rPr>
          <w:rFonts w:ascii="宋体" w:hAnsi="宋体"/>
          <w:color w:val="000000"/>
        </w:rPr>
        <w:t>）进度偏差情况；</w:t>
      </w:r>
      <w:r>
        <w:rPr>
          <w:color w:val="000000"/>
        </w:rPr>
        <w:t>e</w:t>
      </w:r>
      <w:r>
        <w:rPr>
          <w:rFonts w:ascii="宋体" w:hAnsi="宋体"/>
          <w:color w:val="000000"/>
        </w:rPr>
        <w:t>）进度管理情况。应及时对检查情况进行分析，找出影响进度的原因，做好进度计划的调整和完善。</w:t>
      </w:r>
    </w:p>
    <w:p>
      <w:pPr>
        <w:ind w:firstLine="480"/>
        <w:rPr>
          <w:color w:val="000000"/>
        </w:rPr>
      </w:pPr>
      <w:r>
        <w:rPr>
          <w:color w:val="000000"/>
        </w:rPr>
        <w:t>3</w:t>
      </w:r>
      <w:r>
        <w:rPr>
          <w:rFonts w:ascii="宋体" w:hAnsi="宋体"/>
          <w:color w:val="000000"/>
        </w:rPr>
        <w:t>）定期召开现场会议</w:t>
      </w:r>
    </w:p>
    <w:p>
      <w:pPr>
        <w:ind w:firstLine="480"/>
        <w:rPr>
          <w:color w:val="000000"/>
        </w:rPr>
      </w:pPr>
      <w:r>
        <w:rPr>
          <w:rFonts w:ascii="宋体" w:hAnsi="宋体"/>
          <w:color w:val="000000"/>
        </w:rPr>
        <w:t>项目法人要定期组织召开实施负责人现场会，及时、准确地了解项目实施实际进度情况，掌握阶段工程实施可能存在的问题。同时找出解决问题的办法或明确解决问题时的限制条件，为下一步进度计划的分析和调整做准备。</w:t>
      </w:r>
    </w:p>
    <w:p>
      <w:pPr>
        <w:ind w:firstLine="480"/>
        <w:rPr>
          <w:color w:val="000000"/>
        </w:rPr>
      </w:pPr>
      <w:r>
        <w:rPr>
          <w:rFonts w:ascii="宋体" w:hAnsi="宋体"/>
          <w:color w:val="000000"/>
        </w:rPr>
        <w:t>当工期延期影响到单项工程的进度计划时，领导小组及时报上级部门审批。</w:t>
      </w:r>
    </w:p>
    <w:p>
      <w:pPr>
        <w:ind w:firstLine="480"/>
        <w:rPr>
          <w:color w:val="000000"/>
        </w:rPr>
      </w:pPr>
      <w:r>
        <w:rPr>
          <w:rFonts w:ascii="宋体" w:hAnsi="宋体"/>
          <w:color w:val="000000"/>
        </w:rPr>
        <w:t>当单项工程进度计划调整或者延期影响到整个项目区建设进度计划时，领导小组及时报上级部门审批。</w:t>
      </w:r>
    </w:p>
    <w:p>
      <w:pPr>
        <w:pStyle w:val="5"/>
        <w:rPr>
          <w:color w:val="000000"/>
        </w:rPr>
      </w:pPr>
      <w:r>
        <w:rPr>
          <w:color w:val="000000"/>
        </w:rPr>
        <w:t>7.1.2.3</w:t>
      </w:r>
      <w:r>
        <w:rPr>
          <w:rFonts w:ascii="宋体" w:hAnsi="宋体"/>
          <w:color w:val="000000"/>
        </w:rPr>
        <w:t>资金控制</w:t>
      </w:r>
    </w:p>
    <w:p>
      <w:pPr>
        <w:ind w:firstLine="480"/>
        <w:rPr>
          <w:color w:val="000000"/>
        </w:rPr>
      </w:pPr>
      <w:r>
        <w:rPr>
          <w:rFonts w:ascii="宋体" w:hAnsi="宋体"/>
          <w:color w:val="000000"/>
        </w:rPr>
        <w:t>资金控制是指项目投资费用的监督和管理，使其不突破预算，达到减低工程造价，提高投资经济效果的目的。资金控制包括直接成本控制和行政成本控制两个方面，重点应该放在直接成本控制上，采购合同占用资金比重较大，因此必须加强对采购、财务的管理，对采购工作进行数量、价格双控制。资金控制的主要工作包括：建立资金审批程序，建立定期资金对照分析报告制度，控制行政人员开支，监督直接成本的完成情况，控制项目的变化，检查工程的实际完成情况等。资金控制的关键是制定资金使用、支配管理办法。</w:t>
      </w:r>
    </w:p>
    <w:p>
      <w:pPr>
        <w:ind w:firstLine="480"/>
        <w:rPr>
          <w:color w:val="000000"/>
        </w:rPr>
      </w:pPr>
      <w:r>
        <w:rPr>
          <w:rFonts w:ascii="宋体" w:hAnsi="宋体"/>
          <w:color w:val="000000"/>
        </w:rPr>
        <w:t>由于体制改革，高标准农田项目资金管理办法新规尚未颁布，本次设计参照原《吉林省农业综合开发资金和项目管理实施办法》规定：</w:t>
      </w:r>
      <w:r>
        <w:rPr>
          <w:color w:val="000000"/>
        </w:rPr>
        <w:t>”</w:t>
      </w:r>
      <w:r>
        <w:rPr>
          <w:rFonts w:ascii="宋体" w:hAnsi="宋体"/>
          <w:color w:val="000000"/>
        </w:rPr>
        <w:t>第十九条农业综合开发财政资金应当严格执行国家和省农业综合开发财务、会计制度，实行专人管理、专账核算、专款专用。第二十条地方各级财政部门应当根据法律、法规和财政部的有关规定，及时、足额地拨付资金，加强资金管理和监督。第二十一条农业综合开发项目财政资金支付实行县级报账制，按照国库集中支付制度的有关规定执行。</w:t>
      </w:r>
      <w:r>
        <w:rPr>
          <w:color w:val="000000"/>
        </w:rPr>
        <w:t>”</w:t>
      </w:r>
    </w:p>
    <w:p>
      <w:pPr>
        <w:pStyle w:val="5"/>
        <w:rPr>
          <w:color w:val="000000"/>
        </w:rPr>
      </w:pPr>
      <w:r>
        <w:rPr>
          <w:color w:val="000000"/>
        </w:rPr>
        <w:t>7.1.2.4</w:t>
      </w:r>
      <w:r>
        <w:rPr>
          <w:rFonts w:hint="eastAsia"/>
          <w:color w:val="000000"/>
        </w:rPr>
        <w:t>施工</w:t>
      </w:r>
      <w:r>
        <w:rPr>
          <w:rFonts w:ascii="宋体" w:hAnsi="宋体"/>
          <w:color w:val="000000"/>
        </w:rPr>
        <w:t>质量控制</w:t>
      </w:r>
    </w:p>
    <w:p>
      <w:pPr>
        <w:ind w:firstLine="480"/>
        <w:rPr>
          <w:color w:val="000000"/>
        </w:rPr>
      </w:pPr>
      <w:r>
        <w:rPr>
          <w:rFonts w:ascii="宋体" w:hAnsi="宋体"/>
          <w:color w:val="000000"/>
        </w:rPr>
        <w:t>（一）项目质量控制的原则</w:t>
      </w:r>
    </w:p>
    <w:p>
      <w:pPr>
        <w:ind w:firstLine="480"/>
        <w:rPr>
          <w:color w:val="000000"/>
        </w:rPr>
      </w:pPr>
      <w:r>
        <w:rPr>
          <w:color w:val="000000"/>
        </w:rPr>
        <w:t>1</w:t>
      </w:r>
      <w:r>
        <w:rPr>
          <w:rFonts w:ascii="宋体" w:hAnsi="宋体"/>
          <w:color w:val="000000"/>
        </w:rPr>
        <w:t>、</w:t>
      </w:r>
      <w:r>
        <w:rPr>
          <w:rFonts w:hint="eastAsia"/>
          <w:color w:val="000000"/>
        </w:rPr>
        <w:t>“</w:t>
      </w:r>
      <w:r>
        <w:rPr>
          <w:rFonts w:ascii="宋体" w:hAnsi="宋体"/>
          <w:color w:val="000000"/>
        </w:rPr>
        <w:t>质量第一</w:t>
      </w:r>
      <w:r>
        <w:rPr>
          <w:color w:val="000000"/>
        </w:rPr>
        <w:t>”</w:t>
      </w:r>
      <w:r>
        <w:rPr>
          <w:rFonts w:ascii="宋体" w:hAnsi="宋体"/>
          <w:color w:val="000000"/>
        </w:rPr>
        <w:t>原则：</w:t>
      </w:r>
      <w:r>
        <w:rPr>
          <w:rFonts w:hint="eastAsia"/>
          <w:color w:val="000000"/>
        </w:rPr>
        <w:t>“</w:t>
      </w:r>
      <w:r>
        <w:rPr>
          <w:rFonts w:ascii="宋体" w:hAnsi="宋体"/>
          <w:color w:val="000000"/>
        </w:rPr>
        <w:t>质量第一</w:t>
      </w:r>
      <w:r>
        <w:rPr>
          <w:color w:val="000000"/>
        </w:rPr>
        <w:t>”</w:t>
      </w:r>
      <w:r>
        <w:rPr>
          <w:rFonts w:ascii="宋体" w:hAnsi="宋体"/>
          <w:color w:val="000000"/>
        </w:rPr>
        <w:t>是全面质量管理的基础。工程质量的好坏，直接关系工程效益的发挥，项目承担单位和监理单位随时进行工程质量检验，始终把质量摆在工程项目各项工作的首位，增强质量意识，加强质量管理，落实质量责任。</w:t>
      </w:r>
    </w:p>
    <w:p>
      <w:pPr>
        <w:ind w:firstLine="480"/>
        <w:rPr>
          <w:color w:val="000000"/>
        </w:rPr>
      </w:pPr>
      <w:r>
        <w:rPr>
          <w:color w:val="000000"/>
        </w:rPr>
        <w:t>2</w:t>
      </w:r>
      <w:r>
        <w:rPr>
          <w:rFonts w:ascii="宋体" w:hAnsi="宋体"/>
          <w:color w:val="000000"/>
        </w:rPr>
        <w:t>、</w:t>
      </w:r>
      <w:r>
        <w:rPr>
          <w:rFonts w:hint="eastAsia"/>
          <w:color w:val="000000"/>
        </w:rPr>
        <w:t>“</w:t>
      </w:r>
      <w:r>
        <w:rPr>
          <w:rFonts w:ascii="宋体" w:hAnsi="宋体"/>
          <w:color w:val="000000"/>
        </w:rPr>
        <w:t>预防为主</w:t>
      </w:r>
      <w:r>
        <w:rPr>
          <w:color w:val="000000"/>
        </w:rPr>
        <w:t>”</w:t>
      </w:r>
      <w:r>
        <w:rPr>
          <w:rFonts w:ascii="宋体" w:hAnsi="宋体"/>
          <w:color w:val="000000"/>
        </w:rPr>
        <w:t>原则：质量控制应坚持</w:t>
      </w:r>
      <w:r>
        <w:rPr>
          <w:rFonts w:hint="eastAsia"/>
          <w:color w:val="000000"/>
        </w:rPr>
        <w:t>“</w:t>
      </w:r>
      <w:r>
        <w:rPr>
          <w:rFonts w:ascii="宋体" w:hAnsi="宋体"/>
          <w:color w:val="000000"/>
        </w:rPr>
        <w:t>预防为主</w:t>
      </w:r>
      <w:r>
        <w:rPr>
          <w:color w:val="000000"/>
        </w:rPr>
        <w:t>”</w:t>
      </w:r>
      <w:r>
        <w:rPr>
          <w:rFonts w:ascii="宋体" w:hAnsi="宋体"/>
          <w:color w:val="000000"/>
        </w:rPr>
        <w:t>的方针，从事后检验变为事先管理，在项目管理的全过程中，注重事前、事中控制，采取处罚监管措施，消除不合质量要求的因素，以有效控制工程质量。</w:t>
      </w:r>
    </w:p>
    <w:p>
      <w:pPr>
        <w:ind w:firstLine="480"/>
        <w:rPr>
          <w:color w:val="000000"/>
        </w:rPr>
      </w:pPr>
      <w:r>
        <w:rPr>
          <w:color w:val="000000"/>
        </w:rPr>
        <w:t>3</w:t>
      </w:r>
      <w:r>
        <w:rPr>
          <w:rFonts w:ascii="宋体" w:hAnsi="宋体"/>
          <w:color w:val="000000"/>
        </w:rPr>
        <w:t>、</w:t>
      </w:r>
      <w:r>
        <w:rPr>
          <w:rFonts w:hint="eastAsia"/>
          <w:color w:val="000000"/>
        </w:rPr>
        <w:t>“</w:t>
      </w:r>
      <w:r>
        <w:rPr>
          <w:rFonts w:ascii="宋体" w:hAnsi="宋体"/>
          <w:color w:val="000000"/>
        </w:rPr>
        <w:t>用数据说话</w:t>
      </w:r>
      <w:r>
        <w:rPr>
          <w:color w:val="000000"/>
        </w:rPr>
        <w:t>”</w:t>
      </w:r>
      <w:r>
        <w:rPr>
          <w:rFonts w:ascii="宋体" w:hAnsi="宋体"/>
          <w:color w:val="000000"/>
        </w:rPr>
        <w:t>原则：质量控制必须建立在真实有效的数据基础上，依靠能够确切反映客观实际的数字和资料，以数理统计方法为基本手段，对工程实体或工作对象进行科学的分析和整理，从而研究工程质量的波动情况，寻求情况工作质量的主次原因，采取改进质量的有效措施，掌握保证和提高工程质量的客观规律。</w:t>
      </w:r>
    </w:p>
    <w:p>
      <w:pPr>
        <w:ind w:firstLine="480"/>
        <w:rPr>
          <w:color w:val="000000"/>
        </w:rPr>
      </w:pPr>
      <w:r>
        <w:rPr>
          <w:rFonts w:ascii="宋体" w:hAnsi="宋体"/>
          <w:color w:val="000000"/>
        </w:rPr>
        <w:t>（二）项目质量控制的原则</w:t>
      </w:r>
    </w:p>
    <w:p>
      <w:pPr>
        <w:ind w:firstLine="480"/>
        <w:rPr>
          <w:color w:val="000000"/>
        </w:rPr>
      </w:pPr>
      <w:r>
        <w:rPr>
          <w:rFonts w:ascii="宋体" w:hAnsi="宋体"/>
          <w:color w:val="000000"/>
        </w:rPr>
        <w:t>建立健全工程质量保证体系，主要内容有以下几个方面：</w:t>
      </w:r>
      <w:r>
        <w:rPr>
          <w:color w:val="000000"/>
        </w:rPr>
        <w:t>a</w:t>
      </w:r>
      <w:r>
        <w:rPr>
          <w:rFonts w:ascii="宋体" w:hAnsi="宋体"/>
          <w:color w:val="000000"/>
        </w:rPr>
        <w:t>）有明确的质量方针、质量目标和质量计划；</w:t>
      </w:r>
      <w:r>
        <w:rPr>
          <w:color w:val="000000"/>
        </w:rPr>
        <w:t>b</w:t>
      </w:r>
      <w:r>
        <w:rPr>
          <w:rFonts w:ascii="宋体" w:hAnsi="宋体"/>
          <w:color w:val="000000"/>
        </w:rPr>
        <w:t>）建立严格的质量责任制；</w:t>
      </w:r>
      <w:r>
        <w:rPr>
          <w:color w:val="000000"/>
        </w:rPr>
        <w:t>c</w:t>
      </w:r>
      <w:r>
        <w:rPr>
          <w:rFonts w:ascii="宋体" w:hAnsi="宋体"/>
          <w:color w:val="000000"/>
        </w:rPr>
        <w:t>）设立专职质量管理机构和质量管理人员；</w:t>
      </w:r>
      <w:r>
        <w:rPr>
          <w:color w:val="000000"/>
        </w:rPr>
        <w:t>d</w:t>
      </w:r>
      <w:r>
        <w:rPr>
          <w:rFonts w:ascii="宋体" w:hAnsi="宋体"/>
          <w:color w:val="000000"/>
        </w:rPr>
        <w:t>）实行质量管理业务标准化和管理流程程序化；</w:t>
      </w:r>
      <w:r>
        <w:rPr>
          <w:color w:val="000000"/>
        </w:rPr>
        <w:t>e</w:t>
      </w:r>
      <w:r>
        <w:rPr>
          <w:rFonts w:ascii="宋体" w:hAnsi="宋体"/>
          <w:color w:val="000000"/>
        </w:rPr>
        <w:t>）开展群众性的质量管理活动；</w:t>
      </w:r>
      <w:r>
        <w:rPr>
          <w:color w:val="000000"/>
        </w:rPr>
        <w:t>f</w:t>
      </w:r>
      <w:r>
        <w:rPr>
          <w:rFonts w:ascii="宋体" w:hAnsi="宋体"/>
          <w:color w:val="000000"/>
        </w:rPr>
        <w:t>）建立高效、灵敏的质量信息管理系统。</w:t>
      </w:r>
    </w:p>
    <w:p>
      <w:pPr>
        <w:ind w:firstLine="480"/>
        <w:rPr>
          <w:color w:val="000000"/>
        </w:rPr>
      </w:pPr>
      <w:r>
        <w:rPr>
          <w:rFonts w:ascii="宋体" w:hAnsi="宋体"/>
          <w:color w:val="000000"/>
        </w:rPr>
        <w:t>（三）项目质量影响因素的控制</w:t>
      </w:r>
    </w:p>
    <w:p>
      <w:pPr>
        <w:ind w:firstLine="480"/>
        <w:rPr>
          <w:color w:val="000000"/>
        </w:rPr>
      </w:pPr>
      <w:r>
        <w:rPr>
          <w:rFonts w:ascii="宋体" w:hAnsi="宋体"/>
          <w:color w:val="000000"/>
        </w:rPr>
        <w:t>对项目质量影响的主要因素是人、材料、机械、方法和环境等五大因素。严格控制这五大因素，是保证项目质量的关键。</w:t>
      </w:r>
    </w:p>
    <w:p>
      <w:pPr>
        <w:ind w:firstLine="480"/>
        <w:rPr>
          <w:color w:val="000000"/>
        </w:rPr>
      </w:pPr>
      <w:r>
        <w:rPr>
          <w:color w:val="000000"/>
        </w:rPr>
        <w:t>1</w:t>
      </w:r>
      <w:r>
        <w:rPr>
          <w:rFonts w:ascii="宋体" w:hAnsi="宋体"/>
          <w:color w:val="000000"/>
        </w:rPr>
        <w:t>）对人的控制。项目承担单位、工程建设单位均要定期组织加强教育培训，提高人员的管理水平、技术水平和操作水平，防止违纪违章及错误行为发生。</w:t>
      </w:r>
    </w:p>
    <w:p>
      <w:pPr>
        <w:ind w:firstLine="480"/>
        <w:rPr>
          <w:color w:val="000000"/>
        </w:rPr>
      </w:pPr>
      <w:r>
        <w:rPr>
          <w:color w:val="000000"/>
        </w:rPr>
        <w:t>2</w:t>
      </w:r>
      <w:r>
        <w:rPr>
          <w:rFonts w:ascii="宋体" w:hAnsi="宋体"/>
          <w:color w:val="000000"/>
        </w:rPr>
        <w:t>）对材料的控制。材料检验员要对进场材料包括对材料采购质量、运输质量及使用质量及时进行检验，填写检验单。</w:t>
      </w:r>
    </w:p>
    <w:p>
      <w:pPr>
        <w:ind w:firstLine="480"/>
        <w:rPr>
          <w:color w:val="000000"/>
        </w:rPr>
      </w:pPr>
      <w:r>
        <w:rPr>
          <w:color w:val="000000"/>
        </w:rPr>
        <w:t>3</w:t>
      </w:r>
      <w:r>
        <w:rPr>
          <w:rFonts w:ascii="宋体" w:hAnsi="宋体"/>
          <w:color w:val="000000"/>
        </w:rPr>
        <w:t>）对机械的控制。对施工机械设备的控制，应着重从机械设备选型、主要性能参数确定和操作三方面予以控制，特别要注意考虑经济上的合理性、技术上的先进性和使用操作及维护上的方便。</w:t>
      </w:r>
    </w:p>
    <w:p>
      <w:pPr>
        <w:ind w:firstLine="480"/>
        <w:rPr>
          <w:color w:val="000000"/>
        </w:rPr>
      </w:pPr>
      <w:r>
        <w:rPr>
          <w:color w:val="000000"/>
        </w:rPr>
        <w:t>4</w:t>
      </w:r>
      <w:r>
        <w:rPr>
          <w:rFonts w:ascii="宋体" w:hAnsi="宋体"/>
          <w:color w:val="000000"/>
        </w:rPr>
        <w:t>）对方法的控制。对方法的控制是指项目工期所采用的技术方案、工艺流程、组织措施、检验手段等的控制。在工程施工的不同阶段，方法控制的侧重点各不相同，但都要围绕确保项目质量这个目标。</w:t>
      </w:r>
    </w:p>
    <w:p>
      <w:pPr>
        <w:ind w:firstLine="480"/>
        <w:rPr>
          <w:rFonts w:ascii="宋体" w:hAnsi="宋体"/>
          <w:color w:val="000000"/>
        </w:rPr>
      </w:pPr>
      <w:r>
        <w:rPr>
          <w:color w:val="000000"/>
        </w:rPr>
        <w:t>5</w:t>
      </w:r>
      <w:r>
        <w:rPr>
          <w:rFonts w:ascii="宋体" w:hAnsi="宋体"/>
          <w:color w:val="000000"/>
        </w:rPr>
        <w:t>）对环境的控制。应根据工程特点和具体条件，对影响工程质量的环境因素严格控制。对环境因素的控制主要有：工程技术环境，如工程地质、气象、水文等；工程管理环境，如质量管理体系、质量管理制度等；劳动环境，如劳动条件、劳动工具、劳动组合等。</w:t>
      </w:r>
    </w:p>
    <w:p>
      <w:pPr>
        <w:pStyle w:val="3"/>
        <w:rPr>
          <w:rFonts w:hint="eastAsia"/>
          <w:color w:val="000000"/>
        </w:rPr>
      </w:pPr>
      <w:bookmarkStart w:id="65" w:name="_Toc119750206"/>
      <w:r>
        <w:rPr>
          <w:color w:val="000000"/>
        </w:rPr>
        <w:t>7.2</w:t>
      </w:r>
      <w:r>
        <w:rPr>
          <w:rFonts w:hint="eastAsia"/>
          <w:color w:val="000000"/>
        </w:rPr>
        <w:t>统一上图入库</w:t>
      </w:r>
      <w:bookmarkEnd w:id="65"/>
    </w:p>
    <w:p>
      <w:pPr>
        <w:ind w:firstLine="480"/>
        <w:rPr>
          <w:color w:val="000000"/>
        </w:rPr>
      </w:pPr>
      <w:r>
        <w:rPr>
          <w:rFonts w:hint="eastAsia"/>
          <w:color w:val="000000"/>
        </w:rPr>
        <w:t>以土地利用现状、“两区”范围和土壤信息等数据为基础，全面承接高标准农田建设历史数据，加快农田管理大数据平台建设，做好相关信息系统的对接和数据共享，形成全省高标准农田“一张图”。将新建高标准农田空间数据审查作为项目立项的前置条件，坚决防止新建高标准农田与以往建设区域重叠。充分利用监测监管平台，将高标准农田建设项目立项、实施、验收等各阶段相关信息上图入库，及时落实到全国农田建设“一张图”和监管系统中。</w:t>
      </w:r>
    </w:p>
    <w:p>
      <w:pPr>
        <w:ind w:firstLine="480"/>
        <w:rPr>
          <w:rFonts w:hint="eastAsia"/>
          <w:color w:val="000000"/>
        </w:rPr>
      </w:pPr>
      <w:r>
        <w:rPr>
          <w:rFonts w:hint="eastAsia"/>
          <w:color w:val="000000"/>
        </w:rPr>
        <w:t>综合利用航空航天遥感、卫星导航定位、地理信息系统、移动通信、区块链等现代信息技术手段，实现高标准农田建设有据可查、全程监控、精准管理。通过全国农田建设监测监管平台，全面掌握高标准农田建设任务、建设内容、资金投入、建设进度和竣工验收等基本情况。落实国务院关于政务信息资源共享管理要求，积极与自然资源、水利、财政等多部门联动，完善部门间信息共享机制，实现农田建设、保护、利用信息的互通共享。加强数据挖掘分析，为农田建设管理和保护利用提供决策支撑。</w:t>
      </w:r>
    </w:p>
    <w:p>
      <w:pPr>
        <w:ind w:firstLine="480"/>
        <w:rPr>
          <w:color w:val="000000"/>
          <w:highlight w:val="red"/>
        </w:rPr>
      </w:pPr>
      <w:r>
        <w:rPr>
          <w:rFonts w:hint="eastAsia"/>
          <w:snapToGrid/>
          <w:color w:val="000000"/>
        </w:rPr>
        <w:t>通过上图入库和全程管理</w:t>
      </w:r>
      <w:r>
        <w:rPr>
          <w:rFonts w:cs="E-BX"/>
          <w:snapToGrid/>
          <w:color w:val="000000"/>
        </w:rPr>
        <w:t>，</w:t>
      </w:r>
      <w:r>
        <w:rPr>
          <w:rFonts w:hint="eastAsia"/>
          <w:snapToGrid/>
          <w:color w:val="000000"/>
        </w:rPr>
        <w:t>落实建后管护主体和责任</w:t>
      </w:r>
      <w:r>
        <w:rPr>
          <w:rFonts w:hint="eastAsia" w:cs="E-BX"/>
          <w:snapToGrid/>
          <w:color w:val="000000"/>
        </w:rPr>
        <w:t>、</w:t>
      </w:r>
      <w:r>
        <w:rPr>
          <w:rFonts w:hint="eastAsia"/>
          <w:snapToGrid/>
          <w:color w:val="000000"/>
        </w:rPr>
        <w:t>管护资金</w:t>
      </w:r>
      <w:r>
        <w:rPr>
          <w:rFonts w:cs="E-BX"/>
          <w:snapToGrid/>
          <w:color w:val="000000"/>
        </w:rPr>
        <w:t>，</w:t>
      </w:r>
      <w:r>
        <w:rPr>
          <w:rFonts w:hint="eastAsia"/>
          <w:snapToGrid/>
          <w:color w:val="000000"/>
        </w:rPr>
        <w:t>完善管护机制</w:t>
      </w:r>
      <w:r>
        <w:rPr>
          <w:rFonts w:cs="E-BX"/>
          <w:snapToGrid/>
          <w:color w:val="000000"/>
        </w:rPr>
        <w:t>，</w:t>
      </w:r>
      <w:r>
        <w:rPr>
          <w:rFonts w:hint="eastAsia"/>
          <w:snapToGrid/>
          <w:color w:val="000000"/>
        </w:rPr>
        <w:t>确保建成的工程设施在设计使用年限内正常运行</w:t>
      </w:r>
      <w:r>
        <w:rPr>
          <w:rFonts w:hint="eastAsia" w:cs="E-BX"/>
          <w:snapToGrid/>
          <w:color w:val="000000"/>
        </w:rPr>
        <w:t>、</w:t>
      </w:r>
      <w:r>
        <w:rPr>
          <w:rFonts w:hint="eastAsia"/>
          <w:snapToGrid/>
          <w:color w:val="000000"/>
        </w:rPr>
        <w:t>高标准农田用途不改变</w:t>
      </w:r>
      <w:r>
        <w:rPr>
          <w:rFonts w:hint="eastAsia" w:cs="E-BX"/>
          <w:snapToGrid/>
          <w:color w:val="000000"/>
        </w:rPr>
        <w:t>、</w:t>
      </w:r>
      <w:r>
        <w:rPr>
          <w:rFonts w:hint="eastAsia"/>
          <w:snapToGrid/>
          <w:color w:val="000000"/>
        </w:rPr>
        <w:t>质量有提高</w:t>
      </w:r>
      <w:r>
        <w:rPr>
          <w:rFonts w:hint="eastAsia" w:cs="E-BX"/>
          <w:snapToGrid/>
          <w:color w:val="000000"/>
        </w:rPr>
        <w:t>。</w:t>
      </w:r>
    </w:p>
    <w:p>
      <w:pPr>
        <w:ind w:firstLine="480"/>
        <w:rPr>
          <w:rFonts w:cs="E-BX"/>
          <w:snapToGrid/>
          <w:color w:val="000000"/>
        </w:rPr>
      </w:pPr>
      <w:r>
        <w:rPr>
          <w:rFonts w:hint="eastAsia"/>
          <w:snapToGrid/>
          <w:color w:val="000000"/>
        </w:rPr>
        <w:t>《全国高标准农田建设规划（2</w:t>
      </w:r>
      <w:r>
        <w:rPr>
          <w:snapToGrid/>
          <w:color w:val="000000"/>
        </w:rPr>
        <w:t>021</w:t>
      </w:r>
      <w:r>
        <w:rPr>
          <w:rFonts w:hint="eastAsia"/>
          <w:snapToGrid/>
          <w:color w:val="000000"/>
        </w:rPr>
        <w:t>-</w:t>
      </w:r>
      <w:r>
        <w:rPr>
          <w:snapToGrid/>
          <w:color w:val="000000"/>
        </w:rPr>
        <w:t>2030</w:t>
      </w:r>
      <w:r>
        <w:rPr>
          <w:rFonts w:hint="eastAsia"/>
          <w:snapToGrid/>
          <w:color w:val="000000"/>
        </w:rPr>
        <w:t>年）》指出：全面开展高标准农田建设项目信息统一上图入库</w:t>
      </w:r>
      <w:r>
        <w:rPr>
          <w:rFonts w:cs="E-BX"/>
          <w:snapToGrid/>
          <w:color w:val="000000"/>
        </w:rPr>
        <w:t>，</w:t>
      </w:r>
      <w:r>
        <w:rPr>
          <w:rFonts w:hint="eastAsia"/>
          <w:snapToGrid/>
          <w:color w:val="000000"/>
        </w:rPr>
        <w:t>实现有据可查</w:t>
      </w:r>
      <w:r>
        <w:rPr>
          <w:rFonts w:hint="eastAsia" w:cs="E-BX"/>
          <w:snapToGrid/>
          <w:color w:val="000000"/>
        </w:rPr>
        <w:t>、</w:t>
      </w:r>
      <w:r>
        <w:rPr>
          <w:rFonts w:hint="eastAsia"/>
          <w:snapToGrid/>
          <w:color w:val="000000"/>
        </w:rPr>
        <w:t>全程监控</w:t>
      </w:r>
      <w:r>
        <w:rPr>
          <w:rFonts w:hint="eastAsia" w:cs="E-BX"/>
          <w:snapToGrid/>
          <w:color w:val="000000"/>
        </w:rPr>
        <w:t>、</w:t>
      </w:r>
      <w:r>
        <w:rPr>
          <w:rFonts w:hint="eastAsia"/>
          <w:snapToGrid/>
          <w:color w:val="000000"/>
        </w:rPr>
        <w:t>精准管理</w:t>
      </w:r>
      <w:r>
        <w:rPr>
          <w:rFonts w:hint="eastAsia" w:cs="E-BX"/>
          <w:snapToGrid/>
          <w:color w:val="000000"/>
        </w:rPr>
        <w:t>、</w:t>
      </w:r>
      <w:r>
        <w:rPr>
          <w:rFonts w:hint="eastAsia"/>
          <w:snapToGrid/>
          <w:color w:val="000000"/>
        </w:rPr>
        <w:t>资源共享</w:t>
      </w:r>
      <w:r>
        <w:rPr>
          <w:rFonts w:hint="eastAsia" w:cs="E-BX"/>
          <w:snapToGrid/>
          <w:color w:val="000000"/>
        </w:rPr>
        <w:t>。</w:t>
      </w:r>
      <w:r>
        <w:rPr>
          <w:rFonts w:hint="eastAsia"/>
          <w:snapToGrid/>
          <w:color w:val="000000"/>
        </w:rPr>
        <w:t>依据</w:t>
      </w:r>
      <w:r>
        <w:rPr>
          <w:rFonts w:hint="eastAsia" w:cs="E-BX"/>
          <w:snapToGrid/>
          <w:color w:val="000000"/>
        </w:rPr>
        <w:t>《</w:t>
      </w:r>
      <w:r>
        <w:rPr>
          <w:rFonts w:hint="eastAsia"/>
          <w:snapToGrid/>
          <w:color w:val="000000"/>
        </w:rPr>
        <w:t>耕地质量等级</w:t>
      </w:r>
      <w:r>
        <w:rPr>
          <w:rFonts w:hint="eastAsia" w:cs="E-BX"/>
          <w:snapToGrid/>
          <w:color w:val="000000"/>
        </w:rPr>
        <w:t>》</w:t>
      </w:r>
      <w:r>
        <w:rPr>
          <w:rFonts w:cs="E-BX"/>
          <w:snapToGrid/>
          <w:color w:val="000000"/>
        </w:rPr>
        <w:t>(</w:t>
      </w:r>
      <w:r>
        <w:rPr>
          <w:rFonts w:cs="E-BZ"/>
          <w:snapToGrid/>
          <w:color w:val="000000"/>
        </w:rPr>
        <w:t>GB/T33469</w:t>
      </w:r>
      <w:r>
        <w:rPr>
          <w:rFonts w:cs="E-BX"/>
          <w:snapToGrid/>
          <w:color w:val="000000"/>
        </w:rPr>
        <w:t>)</w:t>
      </w:r>
      <w:r>
        <w:rPr>
          <w:rFonts w:hint="eastAsia"/>
          <w:snapToGrid/>
          <w:color w:val="000000"/>
        </w:rPr>
        <w:t>国家标准</w:t>
      </w:r>
      <w:r>
        <w:rPr>
          <w:rFonts w:cs="E-BX"/>
          <w:snapToGrid/>
          <w:color w:val="000000"/>
        </w:rPr>
        <w:t>，</w:t>
      </w:r>
      <w:r>
        <w:rPr>
          <w:rFonts w:hint="eastAsia"/>
          <w:snapToGrid/>
          <w:color w:val="000000"/>
        </w:rPr>
        <w:t>在项目实施前后及时开展耕地质量等级调查评价</w:t>
      </w:r>
      <w:r>
        <w:rPr>
          <w:rFonts w:hint="eastAsia" w:cs="E-BX"/>
          <w:snapToGrid/>
          <w:color w:val="000000"/>
        </w:rPr>
        <w:t>。</w:t>
      </w:r>
      <w:r>
        <w:rPr>
          <w:rFonts w:hint="eastAsia"/>
          <w:snapToGrid/>
          <w:color w:val="000000"/>
        </w:rPr>
        <w:t>深入推进农业水价综合改革</w:t>
      </w:r>
      <w:r>
        <w:rPr>
          <w:rFonts w:cs="E-BX"/>
          <w:snapToGrid/>
          <w:color w:val="000000"/>
        </w:rPr>
        <w:t>，</w:t>
      </w:r>
      <w:r>
        <w:rPr>
          <w:rFonts w:hint="eastAsia"/>
          <w:snapToGrid/>
          <w:color w:val="000000"/>
        </w:rPr>
        <w:t>落实高标准农田管护主体和责任</w:t>
      </w:r>
      <w:r>
        <w:rPr>
          <w:rFonts w:cs="E-BX"/>
          <w:snapToGrid/>
          <w:color w:val="000000"/>
        </w:rPr>
        <w:t>，</w:t>
      </w:r>
      <w:r>
        <w:rPr>
          <w:rFonts w:hint="eastAsia"/>
          <w:snapToGrid/>
          <w:color w:val="000000"/>
        </w:rPr>
        <w:t>引导新型农业经营主体参与高标准农田设施运行管护</w:t>
      </w:r>
      <w:r>
        <w:rPr>
          <w:rFonts w:cs="E-BX"/>
          <w:snapToGrid/>
          <w:color w:val="000000"/>
        </w:rPr>
        <w:t>，</w:t>
      </w:r>
      <w:r>
        <w:rPr>
          <w:rFonts w:hint="eastAsia"/>
          <w:snapToGrid/>
          <w:color w:val="000000"/>
        </w:rPr>
        <w:t>健全管护制度</w:t>
      </w:r>
      <w:r>
        <w:rPr>
          <w:rFonts w:cs="E-BX"/>
          <w:snapToGrid/>
          <w:color w:val="000000"/>
        </w:rPr>
        <w:t>，</w:t>
      </w:r>
      <w:r>
        <w:rPr>
          <w:rFonts w:hint="eastAsia"/>
          <w:snapToGrid/>
          <w:color w:val="000000"/>
        </w:rPr>
        <w:t>落实管护资金</w:t>
      </w:r>
      <w:r>
        <w:rPr>
          <w:rFonts w:hint="eastAsia" w:cs="E-BX"/>
          <w:snapToGrid/>
          <w:color w:val="000000"/>
        </w:rPr>
        <w:t>。</w:t>
      </w:r>
      <w:r>
        <w:rPr>
          <w:rFonts w:hint="eastAsia"/>
          <w:snapToGrid/>
          <w:color w:val="000000"/>
        </w:rPr>
        <w:t>加强管护资金使用监管</w:t>
      </w:r>
      <w:r>
        <w:rPr>
          <w:rFonts w:cs="E-BX"/>
          <w:snapToGrid/>
          <w:color w:val="000000"/>
        </w:rPr>
        <w:t>，</w:t>
      </w:r>
      <w:r>
        <w:rPr>
          <w:rFonts w:hint="eastAsia"/>
          <w:snapToGrid/>
          <w:color w:val="000000"/>
        </w:rPr>
        <w:t>研究制定高标准农田管护投入成本标准体系</w:t>
      </w:r>
      <w:r>
        <w:rPr>
          <w:rFonts w:cs="E-BX"/>
          <w:snapToGrid/>
          <w:color w:val="000000"/>
        </w:rPr>
        <w:t>，</w:t>
      </w:r>
      <w:r>
        <w:rPr>
          <w:rFonts w:hint="eastAsia"/>
          <w:snapToGrid/>
          <w:color w:val="000000"/>
        </w:rPr>
        <w:t>对管护资金实施全过程绩效管理</w:t>
      </w:r>
      <w:r>
        <w:rPr>
          <w:rFonts w:hint="eastAsia" w:cs="E-BX"/>
          <w:snapToGrid/>
          <w:color w:val="000000"/>
        </w:rPr>
        <w:t>。</w:t>
      </w:r>
      <w:r>
        <w:rPr>
          <w:rFonts w:hint="eastAsia"/>
          <w:snapToGrid/>
          <w:color w:val="000000"/>
        </w:rPr>
        <w:t>及时修复损毁工程</w:t>
      </w:r>
      <w:r>
        <w:rPr>
          <w:rFonts w:cs="E-BX"/>
          <w:snapToGrid/>
          <w:color w:val="000000"/>
        </w:rPr>
        <w:t>，</w:t>
      </w:r>
      <w:r>
        <w:rPr>
          <w:rFonts w:hint="eastAsia"/>
          <w:snapToGrid/>
          <w:color w:val="000000"/>
        </w:rPr>
        <w:t>确保建成的高标准农田持续发挥效益</w:t>
      </w:r>
      <w:r>
        <w:rPr>
          <w:rFonts w:hint="eastAsia" w:cs="E-BX"/>
          <w:snapToGrid/>
          <w:color w:val="000000"/>
        </w:rPr>
        <w:t>。</w:t>
      </w:r>
      <w:r>
        <w:rPr>
          <w:rFonts w:hint="eastAsia"/>
          <w:snapToGrid/>
          <w:color w:val="000000"/>
        </w:rPr>
        <w:t>对建成的高标准农田</w:t>
      </w:r>
      <w:r>
        <w:rPr>
          <w:rFonts w:cs="E-BX"/>
          <w:snapToGrid/>
          <w:color w:val="000000"/>
        </w:rPr>
        <w:t>，</w:t>
      </w:r>
      <w:r>
        <w:rPr>
          <w:rFonts w:hint="eastAsia"/>
          <w:snapToGrid/>
          <w:color w:val="000000"/>
        </w:rPr>
        <w:t>要划为永久基本农田</w:t>
      </w:r>
      <w:r>
        <w:rPr>
          <w:rFonts w:cs="E-BX"/>
          <w:snapToGrid/>
          <w:color w:val="000000"/>
        </w:rPr>
        <w:t>，</w:t>
      </w:r>
      <w:r>
        <w:rPr>
          <w:rFonts w:hint="eastAsia"/>
          <w:snapToGrid/>
          <w:color w:val="000000"/>
        </w:rPr>
        <w:t>实行特殊保护</w:t>
      </w:r>
      <w:r>
        <w:rPr>
          <w:rFonts w:cs="E-BX"/>
          <w:snapToGrid/>
          <w:color w:val="000000"/>
        </w:rPr>
        <w:t>，</w:t>
      </w:r>
      <w:r>
        <w:rPr>
          <w:rFonts w:hint="eastAsia"/>
          <w:snapToGrid/>
          <w:color w:val="000000"/>
        </w:rPr>
        <w:t>确保高标准农田数量不减少</w:t>
      </w:r>
      <w:r>
        <w:rPr>
          <w:rFonts w:hint="eastAsia" w:cs="E-BX"/>
          <w:snapToGrid/>
          <w:color w:val="000000"/>
        </w:rPr>
        <w:t>、</w:t>
      </w:r>
      <w:r>
        <w:rPr>
          <w:rFonts w:hint="eastAsia"/>
          <w:snapToGrid/>
          <w:color w:val="000000"/>
        </w:rPr>
        <w:t>质量不降低</w:t>
      </w:r>
      <w:r>
        <w:rPr>
          <w:rFonts w:hint="eastAsia" w:cs="E-BX"/>
          <w:snapToGrid/>
          <w:color w:val="000000"/>
        </w:rPr>
        <w:t>。</w:t>
      </w:r>
    </w:p>
    <w:p>
      <w:pPr>
        <w:ind w:firstLine="480"/>
        <w:rPr>
          <w:rFonts w:hint="eastAsia" w:cs="E-BX"/>
          <w:snapToGrid/>
          <w:color w:val="000000"/>
        </w:rPr>
      </w:pPr>
      <w:r>
        <w:rPr>
          <w:rFonts w:hint="eastAsia" w:cs="E-BX"/>
          <w:snapToGrid/>
          <w:color w:val="000000"/>
        </w:rPr>
        <w:t>镇赉县规划在2</w:t>
      </w:r>
      <w:r>
        <w:rPr>
          <w:rFonts w:cs="E-BX"/>
          <w:snapToGrid/>
          <w:color w:val="000000"/>
        </w:rPr>
        <w:t>011</w:t>
      </w:r>
      <w:r>
        <w:rPr>
          <w:rFonts w:hint="eastAsia" w:cs="E-BX"/>
          <w:snapToGrid/>
          <w:color w:val="000000"/>
        </w:rPr>
        <w:t>年~</w:t>
      </w:r>
      <w:r>
        <w:rPr>
          <w:rFonts w:cs="E-BX"/>
          <w:snapToGrid/>
          <w:color w:val="000000"/>
        </w:rPr>
        <w:t>2020</w:t>
      </w:r>
      <w:r>
        <w:rPr>
          <w:rFonts w:hint="eastAsia" w:cs="E-BX"/>
          <w:snapToGrid/>
          <w:color w:val="000000"/>
        </w:rPr>
        <w:t>年上图入库基础上，融合以往建设经验，通过提前筛选、实地踏查、反复核对的方式，对打造的高标准农田进行精准上图入库。项目前期反复推敲、踏查，选址准确，争取选一块建一块、建一块成一快，施工过程中严格控制建设位置的设计变更，项目验收后核对建设内容及收益区域并最终上图入库。</w:t>
      </w:r>
    </w:p>
    <w:p>
      <w:pPr>
        <w:pStyle w:val="3"/>
        <w:rPr>
          <w:color w:val="000000"/>
        </w:rPr>
      </w:pPr>
      <w:bookmarkStart w:id="66" w:name="_Toc119750207"/>
      <w:r>
        <w:rPr>
          <w:color w:val="000000"/>
        </w:rPr>
        <w:t>7.3</w:t>
      </w:r>
      <w:r>
        <w:rPr>
          <w:rFonts w:hint="eastAsia"/>
          <w:color w:val="000000"/>
        </w:rPr>
        <w:t>规范竣工验收</w:t>
      </w:r>
      <w:bookmarkEnd w:id="66"/>
    </w:p>
    <w:p>
      <w:pPr>
        <w:ind w:firstLine="480"/>
        <w:rPr>
          <w:rFonts w:hint="eastAsia"/>
          <w:color w:val="000000"/>
        </w:rPr>
      </w:pPr>
      <w:r>
        <w:rPr>
          <w:rFonts w:hint="eastAsia"/>
          <w:color w:val="000000"/>
        </w:rPr>
        <w:t>明确《吉林省高标准农田建设项目竣工验收试行办法》验收程序，镇赉县完成本区域内高标准农田项目后，及时组织开展自验，项目竣工财务决算完成后上报市（州）农业农村部门进行竣工验收，省级按照一定比例组织项目监督抽查，对竣工验收合格的项目，核发农业农村部统一格式的竣工验收合格证书。做好项目前期准备、实施阶段、竣工验收和工程移交过程的影像备份、文字材料、数据成果、财务账目等档案的收集、整理、组卷和存档工作，实现档案资料管理的数字化和信息化。工程竣工验收后，及时按照有关规定办理交付使用手续，做好登记造册，明确工程实施的所有权和使用权，做好工程移交，确保建后的高标准农田权属清晰。</w:t>
      </w:r>
    </w:p>
    <w:p>
      <w:pPr>
        <w:pStyle w:val="3"/>
        <w:rPr>
          <w:rFonts w:hint="eastAsia"/>
          <w:color w:val="000000"/>
        </w:rPr>
      </w:pPr>
      <w:bookmarkStart w:id="67" w:name="_Toc119750208"/>
      <w:r>
        <w:rPr>
          <w:color w:val="000000"/>
        </w:rPr>
        <w:t>7.4</w:t>
      </w:r>
      <w:r>
        <w:rPr>
          <w:rFonts w:hint="eastAsia"/>
          <w:color w:val="000000"/>
        </w:rPr>
        <w:t>加强后续管护</w:t>
      </w:r>
      <w:bookmarkEnd w:id="67"/>
    </w:p>
    <w:p>
      <w:pPr>
        <w:ind w:firstLine="480"/>
        <w:rPr>
          <w:color w:val="000000"/>
        </w:rPr>
      </w:pPr>
      <w:r>
        <w:rPr>
          <w:rFonts w:hint="eastAsia"/>
          <w:color w:val="000000"/>
        </w:rPr>
        <w:t>按照“谁受益、谁管护，谁使用、谁管护”的原则，建立“县负总责、乡镇监管、村为主体”管护机制，将已“上图入库”的高标准农田全部纳入管护范围。各地要出台高标准农田建后管护管理办法，建立管护制度，落实管护主体、压实管护责任，确保工程建后长久良性运行。</w:t>
      </w:r>
    </w:p>
    <w:p>
      <w:pPr>
        <w:ind w:firstLine="480"/>
        <w:rPr>
          <w:color w:val="000000"/>
        </w:rPr>
      </w:pPr>
      <w:r>
        <w:rPr>
          <w:rFonts w:hint="eastAsia"/>
          <w:color w:val="000000"/>
        </w:rPr>
        <w:t>鼓励各地创新管护模式，积极开展村组集体集中管护的“共管模式”及委托新型农业经营主体管护的“托管模式”，形成多元化管护格局。促进各地广泛学习借鉴，探索研究适合本地区的管护模式，确保项目“建后有人管，需时用得上”。</w:t>
      </w:r>
    </w:p>
    <w:p>
      <w:pPr>
        <w:ind w:firstLine="480"/>
        <w:rPr>
          <w:color w:val="000000"/>
        </w:rPr>
      </w:pPr>
      <w:r>
        <w:rPr>
          <w:rFonts w:hint="eastAsia"/>
          <w:color w:val="000000"/>
        </w:rPr>
        <w:t>建立农田建设项目管护经费合理保障机制，对灌溉渠系、喷灌设备、机耕路、农道桥（涵）、农田林网等公益性农田基础设施运行和管护，县政府根据实际情况适当给予运行管护经费补助。鼓励各地通过新增耕地指标交易收益、村组集体经济收益等方式多渠道筹措建后管护资金。同时，县级多渠道筹措资金用于高标准农田项目中农田水利设施建后管护，进一步解决地方建后管护资金难的问题。</w:t>
      </w:r>
    </w:p>
    <w:p>
      <w:pPr>
        <w:ind w:firstLine="480"/>
        <w:rPr>
          <w:color w:val="000000"/>
        </w:rPr>
      </w:pPr>
      <w:r>
        <w:rPr>
          <w:rFonts w:hint="eastAsia"/>
          <w:color w:val="000000"/>
        </w:rPr>
        <w:t>在有条件的地区统筹推进农业水价形成机制、农田水利工程建设和管护机制、精准补贴和节水奖励机制、终端用水管理机制建立，有效利用水价管理的杠杆作用，全面提高对水资源的保护、节约和高效率使用，促进农业节水和农田水利工程的良性运行。</w:t>
      </w:r>
    </w:p>
    <w:p>
      <w:pPr>
        <w:pStyle w:val="3"/>
        <w:rPr>
          <w:color w:val="000000"/>
        </w:rPr>
      </w:pPr>
      <w:bookmarkStart w:id="68" w:name="_Toc119750209"/>
      <w:r>
        <w:rPr>
          <w:color w:val="000000"/>
        </w:rPr>
        <w:t>7.5</w:t>
      </w:r>
      <w:r>
        <w:rPr>
          <w:rFonts w:hint="eastAsia"/>
          <w:color w:val="000000"/>
        </w:rPr>
        <w:t>严格保护利用</w:t>
      </w:r>
      <w:bookmarkEnd w:id="68"/>
    </w:p>
    <w:p>
      <w:pPr>
        <w:ind w:firstLine="480"/>
        <w:rPr>
          <w:rFonts w:hint="eastAsia"/>
          <w:color w:val="000000"/>
        </w:rPr>
      </w:pPr>
      <w:r>
        <w:rPr>
          <w:rFonts w:hint="eastAsia"/>
          <w:color w:val="000000"/>
        </w:rPr>
        <w:t>各地政府要统筹谋划，严把土地使用立项并确保将已建成的高标准农田划为永久基本农田，实行特殊保护，遏制“非农化”、防止“非粮化”，任何单位和个人不得损毁、擅自占用或改变用途。严格耕地占用审批，对于经依法批准占用高标准农田的，要遵循“占补平衡”的原则及时进行补充，确保高标准农田数量不减少、质量不降低。</w:t>
      </w:r>
    </w:p>
    <w:p>
      <w:pPr>
        <w:ind w:firstLine="0" w:firstLineChars="0"/>
        <w:rPr>
          <w:rFonts w:hint="eastAsia"/>
          <w:color w:val="000000"/>
        </w:rPr>
      </w:pPr>
      <w:r>
        <w:rPr>
          <w:rFonts w:hint="eastAsia"/>
          <w:color w:val="000000"/>
        </w:rPr>
        <w:t>统筹粮食增产、农民增收和黑土地保护之间的关系，大力推广保护性耕作制度，实行用地、养地相结合，在保护中利用、在利用中保护。加强后续培肥，防止地力下降，确保可持续利用。将水毁等自然损毁的高标准农田纳入年度建设任务，及时进行修</w:t>
      </w:r>
    </w:p>
    <w:p>
      <w:pPr>
        <w:ind w:firstLine="0" w:firstLineChars="0"/>
        <w:rPr>
          <w:rFonts w:hint="eastAsia"/>
          <w:color w:val="000000"/>
        </w:rPr>
      </w:pPr>
      <w:r>
        <w:rPr>
          <w:rFonts w:hint="eastAsia"/>
          <w:color w:val="000000"/>
        </w:rPr>
        <w:t>复或补充。严禁将不达标的污水排入农田，严禁将生活垃圾、工业废弃物等倾倒、排放、存放到农田。完善粮食主产区利益补偿机制，健全产粮奖补政策和农田种粮激励政策，保障农民种粮合理收益，调动地方政府重农抓粮积极性和农民种粮积极性。引导高标准农田集中用于重要农产品特别是粮食生产。</w:t>
      </w:r>
    </w:p>
    <w:p>
      <w:pPr>
        <w:ind w:firstLine="480"/>
        <w:rPr>
          <w:color w:val="000000"/>
        </w:rPr>
      </w:pPr>
    </w:p>
    <w:p>
      <w:pPr>
        <w:ind w:firstLine="480"/>
        <w:rPr>
          <w:rFonts w:hint="eastAsia"/>
          <w:color w:val="000000"/>
        </w:rPr>
        <w:sectPr>
          <w:pgSz w:w="11907" w:h="16840"/>
          <w:pgMar w:top="1418" w:right="1418" w:bottom="1418" w:left="1701" w:header="851" w:footer="1077" w:gutter="0"/>
          <w:pgNumType w:fmt="decimal"/>
          <w:cols w:space="720" w:num="1"/>
          <w:docGrid w:linePitch="312" w:charSpace="0"/>
        </w:sectPr>
      </w:pPr>
    </w:p>
    <w:p>
      <w:pPr>
        <w:pStyle w:val="2"/>
        <w:rPr>
          <w:color w:val="000000"/>
        </w:rPr>
      </w:pPr>
      <w:bookmarkStart w:id="69" w:name="_Toc97667865"/>
      <w:bookmarkStart w:id="70" w:name="_Toc119750210"/>
      <w:r>
        <w:rPr>
          <w:color w:val="000000"/>
        </w:rPr>
        <w:t>8效益分析</w:t>
      </w:r>
      <w:bookmarkEnd w:id="69"/>
      <w:bookmarkEnd w:id="70"/>
    </w:p>
    <w:p>
      <w:pPr>
        <w:pStyle w:val="3"/>
        <w:rPr>
          <w:color w:val="000000"/>
        </w:rPr>
      </w:pPr>
      <w:bookmarkStart w:id="71" w:name="_Toc119750211"/>
      <w:bookmarkStart w:id="72" w:name="_Toc97667866"/>
      <w:r>
        <w:rPr>
          <w:color w:val="000000"/>
        </w:rPr>
        <w:t>8.1经济效益</w:t>
      </w:r>
      <w:bookmarkEnd w:id="71"/>
      <w:bookmarkEnd w:id="72"/>
    </w:p>
    <w:p>
      <w:pPr>
        <w:pStyle w:val="4"/>
        <w:rPr>
          <w:color w:val="000000"/>
        </w:rPr>
      </w:pPr>
      <w:r>
        <w:rPr>
          <w:color w:val="000000"/>
        </w:rPr>
        <w:t>8.1.1</w:t>
      </w:r>
      <w:r>
        <w:rPr>
          <w:rFonts w:hint="eastAsia"/>
          <w:color w:val="000000"/>
        </w:rPr>
        <w:t>节省劳动力效益</w:t>
      </w:r>
    </w:p>
    <w:p>
      <w:pPr>
        <w:ind w:firstLine="480"/>
        <w:rPr>
          <w:color w:val="000000"/>
        </w:rPr>
      </w:pPr>
      <w:r>
        <w:rPr>
          <w:rFonts w:hint="eastAsia"/>
          <w:color w:val="000000"/>
        </w:rPr>
        <w:t>项目规划新增高标准农田</w:t>
      </w:r>
      <w:r>
        <w:rPr>
          <w:color w:val="000000"/>
        </w:rPr>
        <w:t>91.41</w:t>
      </w:r>
      <w:r>
        <w:rPr>
          <w:rFonts w:hint="eastAsia"/>
          <w:color w:val="000000"/>
        </w:rPr>
        <w:t>万亩。项目建成后方便了当地村民的耕作时交通运输，降低了交通运输成本，与此同时也在一定程度降低了耕作时的劳动成本，并减少了每年用于修路等的劳动力成本。根据农业农村局统计数据和实际测算的数据，综合考虑每亩地每年节省</w:t>
      </w:r>
      <w:r>
        <w:rPr>
          <w:color w:val="000000"/>
        </w:rPr>
        <w:t>2</w:t>
      </w:r>
      <w:r>
        <w:rPr>
          <w:rFonts w:hint="eastAsia"/>
          <w:color w:val="000000"/>
        </w:rPr>
        <w:t>个人工成本，一个人工成本为1</w:t>
      </w:r>
      <w:r>
        <w:rPr>
          <w:color w:val="000000"/>
        </w:rPr>
        <w:t>2</w:t>
      </w:r>
      <w:r>
        <w:rPr>
          <w:rFonts w:hint="eastAsia"/>
          <w:color w:val="000000"/>
        </w:rPr>
        <w:t>0元，则</w:t>
      </w:r>
      <w:r>
        <w:rPr>
          <w:color w:val="000000"/>
        </w:rPr>
        <w:t>91.41</w:t>
      </w:r>
      <w:r>
        <w:rPr>
          <w:rFonts w:hint="eastAsia"/>
          <w:color w:val="000000"/>
        </w:rPr>
        <w:t>×</w:t>
      </w:r>
      <w:r>
        <w:rPr>
          <w:color w:val="000000"/>
        </w:rPr>
        <w:t>2</w:t>
      </w:r>
      <w:r>
        <w:rPr>
          <w:rFonts w:hint="eastAsia"/>
          <w:color w:val="000000"/>
        </w:rPr>
        <w:t>×120=</w:t>
      </w:r>
      <w:r>
        <w:rPr>
          <w:color w:val="000000"/>
        </w:rPr>
        <w:t>21938.40</w:t>
      </w:r>
      <w:r>
        <w:rPr>
          <w:rFonts w:hint="eastAsia"/>
          <w:color w:val="000000"/>
        </w:rPr>
        <w:t>万元。每亩耕地平均每年节省劳动力</w:t>
      </w:r>
      <w:r>
        <w:rPr>
          <w:color w:val="000000"/>
        </w:rPr>
        <w:t>143.41元。</w:t>
      </w:r>
    </w:p>
    <w:p>
      <w:pPr>
        <w:pStyle w:val="4"/>
        <w:rPr>
          <w:color w:val="000000"/>
        </w:rPr>
      </w:pPr>
      <w:r>
        <w:rPr>
          <w:color w:val="000000"/>
        </w:rPr>
        <w:t>8.1.2</w:t>
      </w:r>
      <w:r>
        <w:rPr>
          <w:rFonts w:hint="eastAsia"/>
          <w:color w:val="000000"/>
        </w:rPr>
        <w:t>节水效益</w:t>
      </w:r>
    </w:p>
    <w:p>
      <w:pPr>
        <w:ind w:firstLine="480"/>
        <w:rPr>
          <w:rFonts w:hint="eastAsia"/>
          <w:color w:val="000000"/>
        </w:rPr>
      </w:pPr>
      <w:r>
        <w:rPr>
          <w:rFonts w:hint="eastAsia"/>
          <w:color w:val="000000"/>
        </w:rPr>
        <w:t>镇赉县水田综合净灌溉定额为</w:t>
      </w:r>
      <w:r>
        <w:rPr>
          <w:color w:val="000000"/>
        </w:rPr>
        <w:t>463</w:t>
      </w:r>
      <w:r>
        <w:rPr>
          <w:rFonts w:hint="eastAsia"/>
          <w:color w:val="000000"/>
        </w:rPr>
        <w:t>m</w:t>
      </w:r>
      <w:r>
        <w:rPr>
          <w:rFonts w:hint="eastAsia"/>
          <w:color w:val="000000"/>
          <w:vertAlign w:val="superscript"/>
        </w:rPr>
        <w:t>3</w:t>
      </w:r>
      <w:r>
        <w:rPr>
          <w:rFonts w:hint="eastAsia"/>
          <w:color w:val="000000"/>
        </w:rPr>
        <w:t>/亩。节水改造工程实施后，渠系建筑物配套，渠系水的利用率从0.5</w:t>
      </w:r>
      <w:r>
        <w:rPr>
          <w:color w:val="000000"/>
        </w:rPr>
        <w:t>5</w:t>
      </w:r>
      <w:r>
        <w:rPr>
          <w:rFonts w:hint="eastAsia"/>
          <w:color w:val="000000"/>
        </w:rPr>
        <w:t>将提高到0.6</w:t>
      </w:r>
      <w:r>
        <w:rPr>
          <w:color w:val="000000"/>
        </w:rPr>
        <w:t>2</w:t>
      </w:r>
      <w:r>
        <w:rPr>
          <w:rFonts w:hint="eastAsia"/>
          <w:color w:val="000000"/>
        </w:rPr>
        <w:t>，该项目节约水量</w:t>
      </w:r>
      <w:r>
        <w:rPr>
          <w:color w:val="000000"/>
        </w:rPr>
        <w:t>943.78</w:t>
      </w:r>
      <w:r>
        <w:rPr>
          <w:rFonts w:hint="eastAsia"/>
          <w:color w:val="000000"/>
        </w:rPr>
        <w:t>万m</w:t>
      </w:r>
      <w:r>
        <w:rPr>
          <w:rFonts w:hint="eastAsia"/>
          <w:color w:val="000000"/>
          <w:vertAlign w:val="superscript"/>
        </w:rPr>
        <w:t>3</w:t>
      </w:r>
      <w:r>
        <w:rPr>
          <w:rFonts w:hint="eastAsia"/>
          <w:color w:val="000000"/>
        </w:rPr>
        <w:t>，节水效益显著。水价按0.0</w:t>
      </w:r>
      <w:r>
        <w:rPr>
          <w:color w:val="000000"/>
        </w:rPr>
        <w:t>6</w:t>
      </w:r>
      <w:r>
        <w:rPr>
          <w:rFonts w:hint="eastAsia"/>
          <w:color w:val="000000"/>
        </w:rPr>
        <w:t>元/m</w:t>
      </w:r>
      <w:r>
        <w:rPr>
          <w:rFonts w:hint="eastAsia"/>
          <w:color w:val="000000"/>
          <w:vertAlign w:val="superscript"/>
        </w:rPr>
        <w:t>3</w:t>
      </w:r>
      <w:r>
        <w:rPr>
          <w:rFonts w:hint="eastAsia"/>
          <w:color w:val="000000"/>
        </w:rPr>
        <w:t>计，节水效益为</w:t>
      </w:r>
      <w:r>
        <w:rPr>
          <w:color w:val="000000"/>
        </w:rPr>
        <w:t>56.63</w:t>
      </w:r>
      <w:r>
        <w:rPr>
          <w:rFonts w:hint="eastAsia"/>
          <w:color w:val="000000"/>
        </w:rPr>
        <w:t>万元。每亩耕地平均每年节水效益</w:t>
      </w:r>
      <w:r>
        <w:rPr>
          <w:color w:val="000000"/>
        </w:rPr>
        <w:t>1.94元。</w:t>
      </w:r>
    </w:p>
    <w:p>
      <w:pPr>
        <w:pStyle w:val="4"/>
        <w:rPr>
          <w:color w:val="000000"/>
        </w:rPr>
      </w:pPr>
      <w:r>
        <w:rPr>
          <w:color w:val="000000"/>
        </w:rPr>
        <w:t>8.1.3</w:t>
      </w:r>
      <w:r>
        <w:rPr>
          <w:rFonts w:hint="eastAsia"/>
          <w:color w:val="000000"/>
        </w:rPr>
        <w:t>粮食增产效益</w:t>
      </w:r>
    </w:p>
    <w:p>
      <w:pPr>
        <w:ind w:firstLine="480"/>
        <w:rPr>
          <w:color w:val="000000"/>
        </w:rPr>
      </w:pPr>
      <w:r>
        <w:rPr>
          <w:rFonts w:hint="eastAsia" w:ascii="宋体" w:hAnsi="宋体"/>
          <w:color w:val="000000"/>
        </w:rPr>
        <w:t>生产成本按照水稻、玉米进行估算，经过计算每亩土地使用费、物资成本、人工费用，项目每亩水田生产成本为1</w:t>
      </w:r>
      <w:r>
        <w:rPr>
          <w:color w:val="000000"/>
        </w:rPr>
        <w:t>000</w:t>
      </w:r>
      <w:r>
        <w:rPr>
          <w:rFonts w:hint="eastAsia" w:ascii="宋体" w:hAnsi="宋体"/>
          <w:color w:val="000000"/>
        </w:rPr>
        <w:t>元，项目每亩旱田生产成本为</w:t>
      </w:r>
      <w:r>
        <w:rPr>
          <w:rFonts w:ascii="宋体" w:hAnsi="宋体"/>
          <w:color w:val="000000"/>
        </w:rPr>
        <w:t>9</w:t>
      </w:r>
      <w:r>
        <w:rPr>
          <w:color w:val="000000"/>
        </w:rPr>
        <w:t>00</w:t>
      </w:r>
      <w:r>
        <w:rPr>
          <w:rFonts w:hint="eastAsia" w:ascii="宋体" w:hAnsi="宋体"/>
          <w:color w:val="000000"/>
        </w:rPr>
        <w:t>元。</w:t>
      </w:r>
    </w:p>
    <w:p>
      <w:pPr>
        <w:ind w:firstLine="480"/>
        <w:rPr>
          <w:color w:val="000000"/>
        </w:rPr>
      </w:pPr>
      <w:r>
        <w:rPr>
          <w:rFonts w:ascii="宋体" w:hAnsi="宋体"/>
          <w:color w:val="000000"/>
        </w:rPr>
        <w:t>项目实施后，可进一步改善灌溉面积</w:t>
      </w:r>
      <w:r>
        <w:rPr>
          <w:color w:val="000000"/>
        </w:rPr>
        <w:t>29.12</w:t>
      </w:r>
      <w:r>
        <w:rPr>
          <w:rFonts w:ascii="宋体" w:hAnsi="宋体"/>
          <w:color w:val="000000"/>
        </w:rPr>
        <w:t>万亩</w:t>
      </w:r>
      <w:r>
        <w:rPr>
          <w:rFonts w:hint="eastAsia" w:ascii="宋体" w:hAnsi="宋体"/>
          <w:color w:val="000000"/>
        </w:rPr>
        <w:t>，</w:t>
      </w:r>
      <w:r>
        <w:rPr>
          <w:rFonts w:ascii="宋体" w:hAnsi="宋体"/>
          <w:color w:val="000000"/>
        </w:rPr>
        <w:t>水稻的影子价格以</w:t>
      </w:r>
      <w:r>
        <w:rPr>
          <w:rFonts w:hint="eastAsia" w:ascii="宋体" w:hAnsi="宋体"/>
          <w:color w:val="000000"/>
        </w:rPr>
        <w:t>当地市场</w:t>
      </w:r>
      <w:r>
        <w:rPr>
          <w:rFonts w:ascii="宋体" w:hAnsi="宋体"/>
          <w:color w:val="000000"/>
        </w:rPr>
        <w:t>价</w:t>
      </w:r>
      <w:r>
        <w:rPr>
          <w:color w:val="000000"/>
        </w:rPr>
        <w:t>2.8</w:t>
      </w:r>
      <w:r>
        <w:rPr>
          <w:rFonts w:ascii="宋体" w:hAnsi="宋体"/>
          <w:color w:val="000000"/>
        </w:rPr>
        <w:t>元</w:t>
      </w:r>
      <w:r>
        <w:rPr>
          <w:color w:val="000000"/>
        </w:rPr>
        <w:t>/kg</w:t>
      </w:r>
      <w:r>
        <w:rPr>
          <w:rFonts w:ascii="宋体" w:hAnsi="宋体"/>
          <w:color w:val="000000"/>
        </w:rPr>
        <w:t>为基础。水田改善前单产为</w:t>
      </w:r>
      <w:r>
        <w:rPr>
          <w:color w:val="000000"/>
        </w:rPr>
        <w:t>470kg/</w:t>
      </w:r>
      <w:r>
        <w:rPr>
          <w:rFonts w:ascii="宋体" w:hAnsi="宋体"/>
          <w:color w:val="000000"/>
        </w:rPr>
        <w:t>亩，改善后水田单产为</w:t>
      </w:r>
      <w:r>
        <w:rPr>
          <w:color w:val="000000"/>
        </w:rPr>
        <w:t>520kg/</w:t>
      </w:r>
      <w:r>
        <w:rPr>
          <w:rFonts w:ascii="宋体" w:hAnsi="宋体"/>
          <w:color w:val="000000"/>
        </w:rPr>
        <w:t>亩。</w:t>
      </w:r>
    </w:p>
    <w:p>
      <w:pPr>
        <w:ind w:firstLine="480"/>
        <w:rPr>
          <w:color w:val="000000"/>
        </w:rPr>
      </w:pPr>
      <w:r>
        <w:rPr>
          <w:rFonts w:ascii="宋体" w:hAnsi="宋体"/>
          <w:color w:val="000000"/>
        </w:rPr>
        <w:t>根据上面分析和提供的参考数据，本工程</w:t>
      </w:r>
      <w:r>
        <w:rPr>
          <w:rFonts w:hint="eastAsia" w:ascii="宋体" w:hAnsi="宋体"/>
          <w:color w:val="000000"/>
        </w:rPr>
        <w:t>水田</w:t>
      </w:r>
      <w:r>
        <w:rPr>
          <w:rFonts w:ascii="宋体" w:hAnsi="宋体"/>
          <w:color w:val="000000"/>
        </w:rPr>
        <w:t>效益计算如下：</w:t>
      </w:r>
    </w:p>
    <w:p>
      <w:pPr>
        <w:ind w:firstLine="482"/>
        <w:jc w:val="center"/>
        <w:rPr>
          <w:b/>
          <w:bCs/>
          <w:color w:val="000000"/>
        </w:rPr>
      </w:pPr>
      <w:r>
        <w:rPr>
          <w:rFonts w:hint="eastAsia" w:ascii="宋体" w:hAnsi="宋体"/>
          <w:b/>
          <w:bCs/>
          <w:color w:val="000000"/>
        </w:rPr>
        <w:t>项目实施前水田收益</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8"/>
        <w:gridCol w:w="1079"/>
        <w:gridCol w:w="1079"/>
        <w:gridCol w:w="1128"/>
        <w:gridCol w:w="1183"/>
        <w:gridCol w:w="1079"/>
        <w:gridCol w:w="1079"/>
        <w:gridCol w:w="16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21" w:type="pct"/>
            <w:vMerge w:val="restart"/>
            <w:tcBorders>
              <w:top w:val="single" w:color="auto" w:sz="12" w:space="0"/>
              <w:left w:val="single" w:color="auto" w:sz="12"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作物名称</w:t>
            </w:r>
          </w:p>
        </w:tc>
        <w:tc>
          <w:tcPr>
            <w:tcW w:w="59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种植面积</w:t>
            </w:r>
          </w:p>
        </w:tc>
        <w:tc>
          <w:tcPr>
            <w:tcW w:w="59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单产</w:t>
            </w:r>
          </w:p>
        </w:tc>
        <w:tc>
          <w:tcPr>
            <w:tcW w:w="626"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单价</w:t>
            </w:r>
          </w:p>
        </w:tc>
        <w:tc>
          <w:tcPr>
            <w:tcW w:w="657"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单位产值</w:t>
            </w:r>
          </w:p>
        </w:tc>
        <w:tc>
          <w:tcPr>
            <w:tcW w:w="59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生产成本</w:t>
            </w:r>
          </w:p>
        </w:tc>
        <w:tc>
          <w:tcPr>
            <w:tcW w:w="59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净收益</w:t>
            </w:r>
          </w:p>
        </w:tc>
        <w:tc>
          <w:tcPr>
            <w:tcW w:w="899" w:type="pct"/>
            <w:tcBorders>
              <w:top w:val="single" w:color="auto" w:sz="12"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净产值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0" w:type="auto"/>
            <w:vMerge w:val="continue"/>
            <w:tcBorders>
              <w:top w:val="single" w:color="auto" w:sz="12" w:space="0"/>
              <w:left w:val="single" w:color="auto" w:sz="12" w:space="0"/>
              <w:bottom w:val="single" w:color="auto" w:sz="6" w:space="0"/>
              <w:right w:val="single" w:color="auto" w:sz="6" w:space="0"/>
            </w:tcBorders>
            <w:noWrap w:val="0"/>
            <w:vAlign w:val="center"/>
          </w:tcPr>
          <w:p>
            <w:pPr>
              <w:widowControl/>
              <w:adjustRightInd/>
              <w:snapToGrid/>
              <w:spacing w:line="240" w:lineRule="auto"/>
              <w:ind w:firstLine="0" w:firstLineChars="0"/>
              <w:jc w:val="center"/>
              <w:rPr>
                <w:color w:val="000000"/>
                <w:sz w:val="18"/>
                <w:szCs w:val="18"/>
              </w:rPr>
            </w:pP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（亩）</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w:t>
            </w:r>
            <w:r>
              <w:rPr>
                <w:color w:val="000000"/>
                <w:sz w:val="18"/>
                <w:szCs w:val="18"/>
              </w:rPr>
              <w:t>kg/</w:t>
            </w:r>
            <w:r>
              <w:rPr>
                <w:rFonts w:hint="eastAsia" w:ascii="宋体" w:hAnsi="宋体"/>
                <w:color w:val="000000"/>
                <w:sz w:val="18"/>
                <w:szCs w:val="18"/>
              </w:rPr>
              <w:t>亩）</w:t>
            </w:r>
          </w:p>
        </w:tc>
        <w:tc>
          <w:tcPr>
            <w:tcW w:w="626"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/kg</w:t>
            </w:r>
            <w:r>
              <w:rPr>
                <w:rFonts w:hint="eastAsia" w:ascii="宋体" w:hAnsi="宋体"/>
                <w:color w:val="000000"/>
                <w:sz w:val="18"/>
                <w:szCs w:val="18"/>
              </w:rPr>
              <w:t>）</w:t>
            </w:r>
          </w:p>
        </w:tc>
        <w:tc>
          <w:tcPr>
            <w:tcW w:w="657"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899" w:type="pct"/>
            <w:tcBorders>
              <w:top w:val="single" w:color="auto" w:sz="6"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21" w:type="pct"/>
            <w:tcBorders>
              <w:top w:val="single" w:color="auto" w:sz="6" w:space="0"/>
              <w:left w:val="single" w:color="auto" w:sz="12"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水田</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291200</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470</w:t>
            </w:r>
          </w:p>
        </w:tc>
        <w:tc>
          <w:tcPr>
            <w:tcW w:w="626"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2.8</w:t>
            </w:r>
          </w:p>
        </w:tc>
        <w:tc>
          <w:tcPr>
            <w:tcW w:w="657"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1316</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1000</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316</w:t>
            </w:r>
          </w:p>
        </w:tc>
        <w:tc>
          <w:tcPr>
            <w:tcW w:w="899" w:type="pct"/>
            <w:tcBorders>
              <w:top w:val="single" w:color="auto" w:sz="6"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color w:val="000000"/>
                <w:sz w:val="18"/>
                <w:szCs w:val="18"/>
              </w:rPr>
              <w:t>9201.92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21" w:type="pct"/>
            <w:tcBorders>
              <w:top w:val="single" w:color="auto" w:sz="6" w:space="0"/>
              <w:left w:val="single" w:color="auto" w:sz="12"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合计</w:t>
            </w:r>
          </w:p>
        </w:tc>
        <w:tc>
          <w:tcPr>
            <w:tcW w:w="59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291200</w:t>
            </w:r>
          </w:p>
        </w:tc>
        <w:tc>
          <w:tcPr>
            <w:tcW w:w="59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26"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57"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59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59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899" w:type="pct"/>
            <w:tcBorders>
              <w:top w:val="single" w:color="auto" w:sz="6" w:space="0"/>
              <w:left w:val="single" w:color="auto" w:sz="6" w:space="0"/>
              <w:bottom w:val="single" w:color="auto" w:sz="12" w:space="0"/>
              <w:right w:val="single" w:color="auto" w:sz="12" w:space="0"/>
            </w:tcBorders>
            <w:noWrap w:val="0"/>
            <w:vAlign w:val="center"/>
          </w:tcPr>
          <w:p>
            <w:pPr>
              <w:spacing w:line="240" w:lineRule="auto"/>
              <w:ind w:firstLine="0" w:firstLineChars="0"/>
              <w:jc w:val="center"/>
              <w:rPr>
                <w:color w:val="000000"/>
                <w:sz w:val="18"/>
                <w:szCs w:val="18"/>
              </w:rPr>
            </w:pPr>
            <w:r>
              <w:rPr>
                <w:color w:val="000000"/>
                <w:sz w:val="18"/>
                <w:szCs w:val="18"/>
              </w:rPr>
              <w:t>9201.92</w:t>
            </w:r>
          </w:p>
        </w:tc>
      </w:tr>
    </w:tbl>
    <w:p>
      <w:pPr>
        <w:ind w:firstLine="482"/>
        <w:jc w:val="center"/>
        <w:rPr>
          <w:color w:val="000000"/>
          <w:szCs w:val="24"/>
        </w:rPr>
      </w:pPr>
      <w:r>
        <w:rPr>
          <w:rFonts w:hint="eastAsia" w:ascii="宋体" w:hAnsi="宋体"/>
          <w:b/>
          <w:bCs/>
          <w:color w:val="000000"/>
        </w:rPr>
        <w:t>项目实施后水田收益</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8"/>
        <w:gridCol w:w="1079"/>
        <w:gridCol w:w="1079"/>
        <w:gridCol w:w="1128"/>
        <w:gridCol w:w="1183"/>
        <w:gridCol w:w="1079"/>
        <w:gridCol w:w="1079"/>
        <w:gridCol w:w="16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21" w:type="pct"/>
            <w:vMerge w:val="restart"/>
            <w:tcBorders>
              <w:top w:val="single" w:color="auto" w:sz="12" w:space="0"/>
              <w:left w:val="single" w:color="auto" w:sz="12"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作物名称</w:t>
            </w:r>
          </w:p>
        </w:tc>
        <w:tc>
          <w:tcPr>
            <w:tcW w:w="59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种植面积</w:t>
            </w:r>
          </w:p>
        </w:tc>
        <w:tc>
          <w:tcPr>
            <w:tcW w:w="59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单产</w:t>
            </w:r>
          </w:p>
        </w:tc>
        <w:tc>
          <w:tcPr>
            <w:tcW w:w="626"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单价</w:t>
            </w:r>
          </w:p>
        </w:tc>
        <w:tc>
          <w:tcPr>
            <w:tcW w:w="657"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单位产值</w:t>
            </w:r>
          </w:p>
        </w:tc>
        <w:tc>
          <w:tcPr>
            <w:tcW w:w="59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生产成本</w:t>
            </w:r>
          </w:p>
        </w:tc>
        <w:tc>
          <w:tcPr>
            <w:tcW w:w="59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净收益</w:t>
            </w:r>
          </w:p>
        </w:tc>
        <w:tc>
          <w:tcPr>
            <w:tcW w:w="899" w:type="pct"/>
            <w:tcBorders>
              <w:top w:val="single" w:color="auto" w:sz="12"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净产值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0" w:type="auto"/>
            <w:vMerge w:val="continue"/>
            <w:tcBorders>
              <w:top w:val="single" w:color="auto" w:sz="12" w:space="0"/>
              <w:left w:val="single" w:color="auto" w:sz="12" w:space="0"/>
              <w:bottom w:val="single" w:color="auto" w:sz="6" w:space="0"/>
              <w:right w:val="single" w:color="auto" w:sz="6" w:space="0"/>
            </w:tcBorders>
            <w:noWrap w:val="0"/>
            <w:vAlign w:val="center"/>
          </w:tcPr>
          <w:p>
            <w:pPr>
              <w:widowControl/>
              <w:adjustRightInd/>
              <w:snapToGrid/>
              <w:spacing w:line="240" w:lineRule="auto"/>
              <w:ind w:firstLine="0" w:firstLineChars="0"/>
              <w:jc w:val="left"/>
              <w:rPr>
                <w:color w:val="000000"/>
                <w:sz w:val="18"/>
                <w:szCs w:val="18"/>
              </w:rPr>
            </w:pP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（亩）</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w:t>
            </w:r>
            <w:r>
              <w:rPr>
                <w:color w:val="000000"/>
                <w:sz w:val="18"/>
                <w:szCs w:val="18"/>
              </w:rPr>
              <w:t>kg/</w:t>
            </w:r>
            <w:r>
              <w:rPr>
                <w:rFonts w:hint="eastAsia" w:ascii="宋体" w:hAnsi="宋体"/>
                <w:color w:val="000000"/>
                <w:sz w:val="18"/>
                <w:szCs w:val="18"/>
              </w:rPr>
              <w:t>亩）</w:t>
            </w:r>
          </w:p>
        </w:tc>
        <w:tc>
          <w:tcPr>
            <w:tcW w:w="626"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/kg</w:t>
            </w:r>
            <w:r>
              <w:rPr>
                <w:rFonts w:hint="eastAsia" w:ascii="宋体" w:hAnsi="宋体"/>
                <w:color w:val="000000"/>
                <w:sz w:val="18"/>
                <w:szCs w:val="18"/>
              </w:rPr>
              <w:t>）</w:t>
            </w:r>
          </w:p>
        </w:tc>
        <w:tc>
          <w:tcPr>
            <w:tcW w:w="657"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899" w:type="pct"/>
            <w:tcBorders>
              <w:top w:val="single" w:color="auto" w:sz="6"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421" w:type="pct"/>
            <w:tcBorders>
              <w:top w:val="single" w:color="auto" w:sz="6" w:space="0"/>
              <w:left w:val="single" w:color="auto" w:sz="12"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水田</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291200</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520</w:t>
            </w:r>
          </w:p>
        </w:tc>
        <w:tc>
          <w:tcPr>
            <w:tcW w:w="626"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2.8</w:t>
            </w:r>
          </w:p>
        </w:tc>
        <w:tc>
          <w:tcPr>
            <w:tcW w:w="657"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1456</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1000</w:t>
            </w:r>
          </w:p>
        </w:tc>
        <w:tc>
          <w:tcPr>
            <w:tcW w:w="59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456</w:t>
            </w:r>
          </w:p>
        </w:tc>
        <w:tc>
          <w:tcPr>
            <w:tcW w:w="899" w:type="pct"/>
            <w:tcBorders>
              <w:top w:val="single" w:color="auto" w:sz="6"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color w:val="000000"/>
                <w:sz w:val="18"/>
                <w:szCs w:val="18"/>
              </w:rPr>
              <w:t>13278.72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1" w:type="pct"/>
            <w:tcBorders>
              <w:top w:val="single" w:color="auto" w:sz="6" w:space="0"/>
              <w:left w:val="single" w:color="auto" w:sz="12"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合计</w:t>
            </w:r>
          </w:p>
        </w:tc>
        <w:tc>
          <w:tcPr>
            <w:tcW w:w="59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291200</w:t>
            </w:r>
          </w:p>
        </w:tc>
        <w:tc>
          <w:tcPr>
            <w:tcW w:w="59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26"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57"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59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59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899" w:type="pct"/>
            <w:tcBorders>
              <w:top w:val="single" w:color="auto" w:sz="6" w:space="0"/>
              <w:left w:val="single" w:color="auto" w:sz="6" w:space="0"/>
              <w:bottom w:val="single" w:color="auto" w:sz="12" w:space="0"/>
              <w:right w:val="single" w:color="auto" w:sz="12" w:space="0"/>
            </w:tcBorders>
            <w:noWrap w:val="0"/>
            <w:vAlign w:val="center"/>
          </w:tcPr>
          <w:p>
            <w:pPr>
              <w:spacing w:line="240" w:lineRule="auto"/>
              <w:ind w:firstLine="0" w:firstLineChars="0"/>
              <w:jc w:val="center"/>
              <w:rPr>
                <w:color w:val="000000"/>
                <w:sz w:val="18"/>
                <w:szCs w:val="18"/>
              </w:rPr>
            </w:pPr>
            <w:r>
              <w:rPr>
                <w:color w:val="000000"/>
                <w:sz w:val="18"/>
                <w:szCs w:val="18"/>
              </w:rPr>
              <w:t>13278.72</w:t>
            </w:r>
          </w:p>
        </w:tc>
      </w:tr>
    </w:tbl>
    <w:p>
      <w:pPr>
        <w:ind w:firstLine="480"/>
        <w:rPr>
          <w:rFonts w:ascii="宋体" w:hAnsi="宋体"/>
          <w:color w:val="000000"/>
        </w:rPr>
      </w:pPr>
      <w:r>
        <w:rPr>
          <w:rFonts w:ascii="宋体" w:hAnsi="宋体"/>
          <w:color w:val="000000"/>
        </w:rPr>
        <w:t>通过</w:t>
      </w:r>
      <w:r>
        <w:rPr>
          <w:rFonts w:hint="eastAsia" w:ascii="宋体" w:hAnsi="宋体"/>
          <w:color w:val="000000"/>
        </w:rPr>
        <w:t>高标准农田</w:t>
      </w:r>
      <w:r>
        <w:rPr>
          <w:rFonts w:ascii="宋体" w:hAnsi="宋体"/>
          <w:color w:val="000000"/>
        </w:rPr>
        <w:t>项目的建设，</w:t>
      </w:r>
      <w:r>
        <w:rPr>
          <w:rFonts w:hint="eastAsia" w:ascii="宋体" w:hAnsi="宋体"/>
          <w:color w:val="000000"/>
        </w:rPr>
        <w:t>能够</w:t>
      </w:r>
      <w:r>
        <w:rPr>
          <w:rFonts w:ascii="宋体" w:hAnsi="宋体"/>
          <w:color w:val="000000"/>
        </w:rPr>
        <w:t>完善项目区水利</w:t>
      </w:r>
      <w:r>
        <w:rPr>
          <w:rFonts w:hint="eastAsia" w:ascii="宋体" w:hAnsi="宋体"/>
          <w:color w:val="000000"/>
        </w:rPr>
        <w:t>农业</w:t>
      </w:r>
      <w:r>
        <w:rPr>
          <w:rFonts w:ascii="宋体" w:hAnsi="宋体"/>
          <w:color w:val="000000"/>
        </w:rPr>
        <w:t>基础设施，</w:t>
      </w:r>
      <w:r>
        <w:rPr>
          <w:rFonts w:hint="eastAsia" w:ascii="宋体" w:hAnsi="宋体"/>
          <w:color w:val="000000"/>
        </w:rPr>
        <w:t>水田改善面积</w:t>
      </w:r>
      <w:r>
        <w:rPr>
          <w:color w:val="000000"/>
        </w:rPr>
        <w:t>29.12</w:t>
      </w:r>
      <w:r>
        <w:rPr>
          <w:rFonts w:hint="eastAsia" w:ascii="宋体" w:hAnsi="宋体"/>
          <w:color w:val="000000"/>
        </w:rPr>
        <w:t>万亩</w:t>
      </w:r>
      <w:r>
        <w:rPr>
          <w:rFonts w:ascii="宋体" w:hAnsi="宋体"/>
          <w:color w:val="000000"/>
        </w:rPr>
        <w:t>。</w:t>
      </w:r>
      <w:r>
        <w:rPr>
          <w:rFonts w:hint="eastAsia" w:ascii="宋体" w:hAnsi="宋体"/>
          <w:color w:val="000000"/>
        </w:rPr>
        <w:t>规划</w:t>
      </w:r>
      <w:r>
        <w:rPr>
          <w:rFonts w:ascii="宋体" w:hAnsi="宋体"/>
          <w:color w:val="000000"/>
        </w:rPr>
        <w:t>通过水利工程建设，可确</w:t>
      </w:r>
      <w:r>
        <w:rPr>
          <w:rFonts w:hint="eastAsia" w:ascii="宋体" w:hAnsi="宋体"/>
          <w:color w:val="000000"/>
        </w:rPr>
        <w:t>高标准农田</w:t>
      </w:r>
      <w:r>
        <w:rPr>
          <w:rFonts w:ascii="宋体" w:hAnsi="宋体"/>
          <w:color w:val="000000"/>
        </w:rPr>
        <w:t>项目区水源供应，水土流失、耕地面积减少</w:t>
      </w:r>
      <w:r>
        <w:rPr>
          <w:rFonts w:hint="eastAsia" w:ascii="宋体" w:hAnsi="宋体"/>
          <w:color w:val="000000"/>
        </w:rPr>
        <w:t>、交通不畅通</w:t>
      </w:r>
      <w:r>
        <w:rPr>
          <w:rFonts w:ascii="宋体" w:hAnsi="宋体"/>
          <w:color w:val="000000"/>
        </w:rPr>
        <w:t>等问题得到解决，通过农业措施的实施可提高粮食产量较以前有明显提高，经济效益较好。</w:t>
      </w:r>
      <w:r>
        <w:rPr>
          <w:rFonts w:hint="eastAsia" w:ascii="宋体" w:hAnsi="宋体"/>
          <w:color w:val="000000"/>
        </w:rPr>
        <w:t>预计</w:t>
      </w:r>
      <w:r>
        <w:rPr>
          <w:rFonts w:ascii="宋体" w:hAnsi="宋体"/>
          <w:color w:val="000000"/>
        </w:rPr>
        <w:t>项目建成后</w:t>
      </w:r>
      <w:r>
        <w:rPr>
          <w:rFonts w:hint="eastAsia" w:ascii="宋体" w:hAnsi="宋体"/>
          <w:color w:val="000000"/>
        </w:rPr>
        <w:t>水稻增产</w:t>
      </w:r>
      <w:r>
        <w:rPr>
          <w:color w:val="000000"/>
        </w:rPr>
        <w:t>1456</w:t>
      </w:r>
      <w:r>
        <w:rPr>
          <w:rFonts w:hint="eastAsia" w:ascii="宋体" w:hAnsi="宋体"/>
          <w:color w:val="000000"/>
        </w:rPr>
        <w:t>万公斤，</w:t>
      </w:r>
      <w:r>
        <w:rPr>
          <w:rFonts w:ascii="宋体" w:hAnsi="宋体"/>
          <w:color w:val="000000"/>
        </w:rPr>
        <w:t>项目区农民收入增加总额</w:t>
      </w:r>
      <w:r>
        <w:rPr>
          <w:color w:val="000000"/>
        </w:rPr>
        <w:t>4076.80</w:t>
      </w:r>
      <w:r>
        <w:rPr>
          <w:rFonts w:ascii="宋体" w:hAnsi="宋体"/>
          <w:color w:val="000000"/>
        </w:rPr>
        <w:t>万元。</w:t>
      </w:r>
    </w:p>
    <w:p>
      <w:pPr>
        <w:ind w:firstLine="480"/>
        <w:rPr>
          <w:color w:val="000000"/>
        </w:rPr>
      </w:pPr>
      <w:r>
        <w:rPr>
          <w:rFonts w:ascii="宋体" w:hAnsi="宋体"/>
          <w:color w:val="000000"/>
        </w:rPr>
        <w:t>项目实施后，可进一步改善</w:t>
      </w:r>
      <w:r>
        <w:rPr>
          <w:rFonts w:hint="eastAsia" w:ascii="宋体" w:hAnsi="宋体"/>
          <w:color w:val="000000"/>
        </w:rPr>
        <w:t>旱田</w:t>
      </w:r>
      <w:r>
        <w:rPr>
          <w:rFonts w:ascii="宋体" w:hAnsi="宋体"/>
          <w:color w:val="000000"/>
        </w:rPr>
        <w:t>面积</w:t>
      </w:r>
      <w:r>
        <w:rPr>
          <w:color w:val="000000"/>
        </w:rPr>
        <w:t>62.29</w:t>
      </w:r>
      <w:r>
        <w:rPr>
          <w:rFonts w:ascii="宋体" w:hAnsi="宋体"/>
          <w:color w:val="000000"/>
        </w:rPr>
        <w:t>万亩</w:t>
      </w:r>
      <w:r>
        <w:rPr>
          <w:rFonts w:hint="eastAsia" w:ascii="宋体" w:hAnsi="宋体"/>
          <w:color w:val="000000"/>
        </w:rPr>
        <w:t>，玉米</w:t>
      </w:r>
      <w:r>
        <w:rPr>
          <w:rFonts w:ascii="宋体" w:hAnsi="宋体"/>
          <w:color w:val="000000"/>
        </w:rPr>
        <w:t>的影子价格以</w:t>
      </w:r>
      <w:r>
        <w:rPr>
          <w:rFonts w:hint="eastAsia" w:ascii="宋体" w:hAnsi="宋体"/>
          <w:color w:val="000000"/>
        </w:rPr>
        <w:t>当地市场</w:t>
      </w:r>
      <w:r>
        <w:rPr>
          <w:rFonts w:ascii="宋体" w:hAnsi="宋体"/>
          <w:color w:val="000000"/>
        </w:rPr>
        <w:t>价</w:t>
      </w:r>
      <w:r>
        <w:rPr>
          <w:color w:val="000000"/>
        </w:rPr>
        <w:t>2.9</w:t>
      </w:r>
      <w:r>
        <w:rPr>
          <w:rFonts w:ascii="宋体" w:hAnsi="宋体"/>
          <w:color w:val="000000"/>
        </w:rPr>
        <w:t>元</w:t>
      </w:r>
      <w:r>
        <w:rPr>
          <w:color w:val="000000"/>
        </w:rPr>
        <w:t>/kg</w:t>
      </w:r>
      <w:r>
        <w:rPr>
          <w:rFonts w:ascii="宋体" w:hAnsi="宋体"/>
          <w:color w:val="000000"/>
        </w:rPr>
        <w:t>为基础。</w:t>
      </w:r>
      <w:r>
        <w:rPr>
          <w:rFonts w:hint="eastAsia" w:ascii="宋体" w:hAnsi="宋体"/>
          <w:color w:val="000000"/>
        </w:rPr>
        <w:t>旱田</w:t>
      </w:r>
      <w:r>
        <w:rPr>
          <w:rFonts w:ascii="宋体" w:hAnsi="宋体"/>
          <w:color w:val="000000"/>
        </w:rPr>
        <w:t>改善前单产为</w:t>
      </w:r>
      <w:r>
        <w:rPr>
          <w:color w:val="000000"/>
        </w:rPr>
        <w:t>400kg/</w:t>
      </w:r>
      <w:r>
        <w:rPr>
          <w:rFonts w:ascii="宋体" w:hAnsi="宋体"/>
          <w:color w:val="000000"/>
        </w:rPr>
        <w:t>亩，改善后水田单产为</w:t>
      </w:r>
      <w:r>
        <w:rPr>
          <w:color w:val="000000"/>
        </w:rPr>
        <w:t>450kg/</w:t>
      </w:r>
      <w:r>
        <w:rPr>
          <w:rFonts w:ascii="宋体" w:hAnsi="宋体"/>
          <w:color w:val="000000"/>
        </w:rPr>
        <w:t>亩。</w:t>
      </w:r>
    </w:p>
    <w:p>
      <w:pPr>
        <w:ind w:firstLine="480"/>
        <w:rPr>
          <w:rFonts w:hint="eastAsia" w:ascii="宋体" w:hAnsi="宋体"/>
          <w:color w:val="000000"/>
        </w:rPr>
      </w:pPr>
      <w:r>
        <w:rPr>
          <w:rFonts w:ascii="宋体" w:hAnsi="宋体"/>
          <w:color w:val="000000"/>
        </w:rPr>
        <w:t>根据上面分析和提供的参考数据，本工程</w:t>
      </w:r>
      <w:r>
        <w:rPr>
          <w:rFonts w:hint="eastAsia" w:ascii="宋体" w:hAnsi="宋体"/>
          <w:color w:val="000000"/>
        </w:rPr>
        <w:t>旱田</w:t>
      </w:r>
      <w:r>
        <w:rPr>
          <w:rFonts w:ascii="宋体" w:hAnsi="宋体"/>
          <w:color w:val="000000"/>
        </w:rPr>
        <w:t>效益计算如下：</w:t>
      </w:r>
    </w:p>
    <w:p>
      <w:pPr>
        <w:ind w:firstLine="482"/>
        <w:jc w:val="center"/>
        <w:rPr>
          <w:b/>
          <w:bCs/>
          <w:color w:val="000000"/>
        </w:rPr>
      </w:pPr>
      <w:r>
        <w:rPr>
          <w:rFonts w:hint="eastAsia" w:ascii="宋体" w:hAnsi="宋体"/>
          <w:b/>
          <w:bCs/>
          <w:color w:val="000000"/>
        </w:rPr>
        <w:t>项目实施前旱田收益</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5"/>
        <w:gridCol w:w="1057"/>
        <w:gridCol w:w="1115"/>
        <w:gridCol w:w="1115"/>
        <w:gridCol w:w="1115"/>
        <w:gridCol w:w="1115"/>
        <w:gridCol w:w="1115"/>
        <w:gridCol w:w="13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586" w:type="pct"/>
            <w:vMerge w:val="restart"/>
            <w:tcBorders>
              <w:top w:val="single" w:color="auto" w:sz="12" w:space="0"/>
              <w:left w:val="single" w:color="auto" w:sz="12"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作物名称</w:t>
            </w:r>
          </w:p>
        </w:tc>
        <w:tc>
          <w:tcPr>
            <w:tcW w:w="587"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种植面积</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单产</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单价</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单位产值</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生产成本</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净收益</w:t>
            </w:r>
          </w:p>
        </w:tc>
        <w:tc>
          <w:tcPr>
            <w:tcW w:w="731" w:type="pct"/>
            <w:tcBorders>
              <w:top w:val="single" w:color="auto" w:sz="12"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净产值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586" w:type="pct"/>
            <w:vMerge w:val="continue"/>
            <w:tcBorders>
              <w:top w:val="single" w:color="auto" w:sz="12" w:space="0"/>
              <w:left w:val="single" w:color="auto" w:sz="12" w:space="0"/>
              <w:bottom w:val="single" w:color="auto" w:sz="6" w:space="0"/>
              <w:right w:val="single" w:color="auto" w:sz="6" w:space="0"/>
            </w:tcBorders>
            <w:noWrap w:val="0"/>
            <w:vAlign w:val="center"/>
          </w:tcPr>
          <w:p>
            <w:pPr>
              <w:widowControl/>
              <w:adjustRightInd/>
              <w:snapToGrid/>
              <w:spacing w:line="240" w:lineRule="auto"/>
              <w:ind w:firstLine="0" w:firstLineChars="0"/>
              <w:jc w:val="left"/>
              <w:rPr>
                <w:color w:val="000000"/>
                <w:sz w:val="18"/>
                <w:szCs w:val="18"/>
              </w:rPr>
            </w:pPr>
          </w:p>
        </w:tc>
        <w:tc>
          <w:tcPr>
            <w:tcW w:w="587"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（亩）</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w:t>
            </w:r>
            <w:r>
              <w:rPr>
                <w:color w:val="000000"/>
                <w:sz w:val="18"/>
                <w:szCs w:val="18"/>
              </w:rPr>
              <w:t>kg/</w:t>
            </w:r>
            <w:r>
              <w:rPr>
                <w:rFonts w:hint="eastAsia" w:ascii="宋体" w:hAnsi="宋体"/>
                <w:color w:val="000000"/>
                <w:sz w:val="18"/>
                <w:szCs w:val="18"/>
              </w:rPr>
              <w:t>亩）</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/kg</w:t>
            </w:r>
            <w:r>
              <w:rPr>
                <w:rFonts w:hint="eastAsia" w:ascii="宋体" w:hAnsi="宋体"/>
                <w:color w:val="000000"/>
                <w:sz w:val="18"/>
                <w:szCs w:val="18"/>
              </w:rPr>
              <w:t>）</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731" w:type="pct"/>
            <w:tcBorders>
              <w:top w:val="single" w:color="auto" w:sz="6"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586" w:type="pct"/>
            <w:tcBorders>
              <w:top w:val="single" w:color="auto" w:sz="6" w:space="0"/>
              <w:left w:val="single" w:color="auto" w:sz="12"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旱田</w:t>
            </w:r>
          </w:p>
        </w:tc>
        <w:tc>
          <w:tcPr>
            <w:tcW w:w="587"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622900</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400</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2.9</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1160</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900</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260</w:t>
            </w:r>
          </w:p>
        </w:tc>
        <w:tc>
          <w:tcPr>
            <w:tcW w:w="731" w:type="pct"/>
            <w:tcBorders>
              <w:top w:val="single" w:color="auto" w:sz="6"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color w:val="000000"/>
                <w:sz w:val="18"/>
                <w:szCs w:val="18"/>
              </w:rPr>
              <w:t>16195.40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586" w:type="pct"/>
            <w:tcBorders>
              <w:top w:val="single" w:color="auto" w:sz="6" w:space="0"/>
              <w:left w:val="single" w:color="auto" w:sz="12"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合计</w:t>
            </w:r>
          </w:p>
        </w:tc>
        <w:tc>
          <w:tcPr>
            <w:tcW w:w="587"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622900</w:t>
            </w: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731" w:type="pct"/>
            <w:tcBorders>
              <w:top w:val="single" w:color="auto" w:sz="6" w:space="0"/>
              <w:left w:val="single" w:color="auto" w:sz="6" w:space="0"/>
              <w:bottom w:val="single" w:color="auto" w:sz="12" w:space="0"/>
              <w:right w:val="single" w:color="auto" w:sz="12" w:space="0"/>
            </w:tcBorders>
            <w:noWrap w:val="0"/>
            <w:vAlign w:val="center"/>
          </w:tcPr>
          <w:p>
            <w:pPr>
              <w:spacing w:line="240" w:lineRule="auto"/>
              <w:ind w:firstLine="0" w:firstLineChars="0"/>
              <w:jc w:val="center"/>
              <w:rPr>
                <w:color w:val="000000"/>
                <w:sz w:val="18"/>
                <w:szCs w:val="18"/>
              </w:rPr>
            </w:pPr>
            <w:r>
              <w:rPr>
                <w:color w:val="000000"/>
                <w:sz w:val="18"/>
                <w:szCs w:val="18"/>
              </w:rPr>
              <w:t>16195.40</w:t>
            </w:r>
          </w:p>
        </w:tc>
      </w:tr>
    </w:tbl>
    <w:p>
      <w:pPr>
        <w:ind w:firstLine="482"/>
        <w:jc w:val="center"/>
        <w:rPr>
          <w:color w:val="000000"/>
          <w:szCs w:val="24"/>
        </w:rPr>
      </w:pPr>
      <w:r>
        <w:rPr>
          <w:rFonts w:hint="eastAsia" w:ascii="宋体" w:hAnsi="宋体"/>
          <w:b/>
          <w:bCs/>
          <w:color w:val="000000"/>
        </w:rPr>
        <w:t>项目实施后旱田收益</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5"/>
        <w:gridCol w:w="1057"/>
        <w:gridCol w:w="1115"/>
        <w:gridCol w:w="1115"/>
        <w:gridCol w:w="1115"/>
        <w:gridCol w:w="1115"/>
        <w:gridCol w:w="1115"/>
        <w:gridCol w:w="13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586" w:type="pct"/>
            <w:vMerge w:val="restart"/>
            <w:tcBorders>
              <w:top w:val="single" w:color="auto" w:sz="12" w:space="0"/>
              <w:left w:val="single" w:color="auto" w:sz="12"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作物名称</w:t>
            </w:r>
          </w:p>
        </w:tc>
        <w:tc>
          <w:tcPr>
            <w:tcW w:w="587"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种植面积</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单产</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单价</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单位产值</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生产成本</w:t>
            </w:r>
          </w:p>
        </w:tc>
        <w:tc>
          <w:tcPr>
            <w:tcW w:w="619" w:type="pct"/>
            <w:tcBorders>
              <w:top w:val="single" w:color="auto" w:sz="12"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净收益</w:t>
            </w:r>
          </w:p>
        </w:tc>
        <w:tc>
          <w:tcPr>
            <w:tcW w:w="731" w:type="pct"/>
            <w:tcBorders>
              <w:top w:val="single" w:color="auto" w:sz="12"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净产值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586" w:type="pct"/>
            <w:vMerge w:val="continue"/>
            <w:tcBorders>
              <w:top w:val="single" w:color="auto" w:sz="12" w:space="0"/>
              <w:left w:val="single" w:color="auto" w:sz="12" w:space="0"/>
              <w:bottom w:val="single" w:color="auto" w:sz="6" w:space="0"/>
              <w:right w:val="single" w:color="auto" w:sz="6" w:space="0"/>
            </w:tcBorders>
            <w:noWrap w:val="0"/>
            <w:vAlign w:val="center"/>
          </w:tcPr>
          <w:p>
            <w:pPr>
              <w:widowControl/>
              <w:adjustRightInd/>
              <w:snapToGrid/>
              <w:spacing w:line="240" w:lineRule="auto"/>
              <w:ind w:firstLine="0" w:firstLineChars="0"/>
              <w:jc w:val="left"/>
              <w:rPr>
                <w:color w:val="000000"/>
                <w:sz w:val="18"/>
                <w:szCs w:val="18"/>
              </w:rPr>
            </w:pPr>
          </w:p>
        </w:tc>
        <w:tc>
          <w:tcPr>
            <w:tcW w:w="587"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（亩）</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w:t>
            </w:r>
            <w:r>
              <w:rPr>
                <w:color w:val="000000"/>
                <w:sz w:val="18"/>
                <w:szCs w:val="18"/>
              </w:rPr>
              <w:t>kg/</w:t>
            </w:r>
            <w:r>
              <w:rPr>
                <w:rFonts w:hint="eastAsia" w:ascii="宋体" w:hAnsi="宋体"/>
                <w:color w:val="000000"/>
                <w:sz w:val="18"/>
                <w:szCs w:val="18"/>
              </w:rPr>
              <w:t>亩）</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/kg</w:t>
            </w:r>
            <w:r>
              <w:rPr>
                <w:rFonts w:hint="eastAsia" w:ascii="宋体" w:hAnsi="宋体"/>
                <w:color w:val="000000"/>
                <w:sz w:val="18"/>
                <w:szCs w:val="18"/>
              </w:rPr>
              <w:t>）</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（元</w:t>
            </w:r>
            <w:r>
              <w:rPr>
                <w:color w:val="000000"/>
                <w:sz w:val="18"/>
                <w:szCs w:val="18"/>
              </w:rPr>
              <w:t>/</w:t>
            </w:r>
            <w:r>
              <w:rPr>
                <w:rFonts w:hint="eastAsia" w:ascii="宋体" w:hAnsi="宋体"/>
                <w:color w:val="000000"/>
                <w:sz w:val="18"/>
                <w:szCs w:val="18"/>
              </w:rPr>
              <w:t>亩）</w:t>
            </w:r>
          </w:p>
        </w:tc>
        <w:tc>
          <w:tcPr>
            <w:tcW w:w="731" w:type="pct"/>
            <w:tcBorders>
              <w:top w:val="single" w:color="auto" w:sz="6"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586" w:type="pct"/>
            <w:tcBorders>
              <w:top w:val="single" w:color="auto" w:sz="6" w:space="0"/>
              <w:left w:val="single" w:color="auto" w:sz="12"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旱田</w:t>
            </w:r>
          </w:p>
        </w:tc>
        <w:tc>
          <w:tcPr>
            <w:tcW w:w="587"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622900</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450</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2.9</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1305</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900</w:t>
            </w:r>
          </w:p>
        </w:tc>
        <w:tc>
          <w:tcPr>
            <w:tcW w:w="619" w:type="pct"/>
            <w:tcBorders>
              <w:top w:val="single" w:color="auto" w:sz="6" w:space="0"/>
              <w:left w:val="single" w:color="auto" w:sz="6" w:space="0"/>
              <w:bottom w:val="single" w:color="auto" w:sz="6"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405</w:t>
            </w:r>
          </w:p>
        </w:tc>
        <w:tc>
          <w:tcPr>
            <w:tcW w:w="731" w:type="pct"/>
            <w:tcBorders>
              <w:top w:val="single" w:color="auto" w:sz="6" w:space="0"/>
              <w:left w:val="single" w:color="auto" w:sz="6" w:space="0"/>
              <w:bottom w:val="single" w:color="auto" w:sz="6" w:space="0"/>
              <w:right w:val="single" w:color="auto" w:sz="12" w:space="0"/>
            </w:tcBorders>
            <w:noWrap w:val="0"/>
            <w:vAlign w:val="center"/>
          </w:tcPr>
          <w:p>
            <w:pPr>
              <w:spacing w:line="240" w:lineRule="auto"/>
              <w:ind w:firstLine="0" w:firstLineChars="0"/>
              <w:jc w:val="center"/>
              <w:rPr>
                <w:color w:val="000000"/>
                <w:sz w:val="18"/>
                <w:szCs w:val="18"/>
              </w:rPr>
            </w:pPr>
            <w:r>
              <w:rPr>
                <w:color w:val="000000"/>
                <w:sz w:val="18"/>
                <w:szCs w:val="18"/>
              </w:rPr>
              <w:t>25227.45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6" w:type="pct"/>
            <w:tcBorders>
              <w:top w:val="single" w:color="auto" w:sz="6" w:space="0"/>
              <w:left w:val="single" w:color="auto" w:sz="12"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r>
              <w:rPr>
                <w:rFonts w:hint="eastAsia" w:ascii="宋体" w:hAnsi="宋体"/>
                <w:color w:val="000000"/>
                <w:sz w:val="18"/>
                <w:szCs w:val="18"/>
              </w:rPr>
              <w:t>合计</w:t>
            </w:r>
          </w:p>
        </w:tc>
        <w:tc>
          <w:tcPr>
            <w:tcW w:w="587"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r>
              <w:rPr>
                <w:color w:val="000000"/>
                <w:sz w:val="18"/>
                <w:szCs w:val="18"/>
              </w:rPr>
              <w:t>622900</w:t>
            </w: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619" w:type="pct"/>
            <w:tcBorders>
              <w:top w:val="single" w:color="auto" w:sz="6" w:space="0"/>
              <w:left w:val="single" w:color="auto" w:sz="6" w:space="0"/>
              <w:bottom w:val="single" w:color="auto" w:sz="12" w:space="0"/>
              <w:right w:val="single" w:color="auto" w:sz="6" w:space="0"/>
            </w:tcBorders>
            <w:noWrap w:val="0"/>
            <w:vAlign w:val="center"/>
          </w:tcPr>
          <w:p>
            <w:pPr>
              <w:spacing w:line="240" w:lineRule="auto"/>
              <w:ind w:firstLine="0" w:firstLineChars="0"/>
              <w:jc w:val="center"/>
              <w:rPr>
                <w:color w:val="000000"/>
                <w:sz w:val="18"/>
                <w:szCs w:val="18"/>
              </w:rPr>
            </w:pPr>
          </w:p>
        </w:tc>
        <w:tc>
          <w:tcPr>
            <w:tcW w:w="731" w:type="pct"/>
            <w:tcBorders>
              <w:top w:val="single" w:color="auto" w:sz="6" w:space="0"/>
              <w:left w:val="single" w:color="auto" w:sz="6" w:space="0"/>
              <w:bottom w:val="single" w:color="auto" w:sz="12" w:space="0"/>
              <w:right w:val="single" w:color="auto" w:sz="12" w:space="0"/>
            </w:tcBorders>
            <w:noWrap w:val="0"/>
            <w:vAlign w:val="center"/>
          </w:tcPr>
          <w:p>
            <w:pPr>
              <w:spacing w:line="240" w:lineRule="auto"/>
              <w:ind w:firstLine="0" w:firstLineChars="0"/>
              <w:jc w:val="center"/>
              <w:rPr>
                <w:color w:val="000000"/>
                <w:sz w:val="18"/>
                <w:szCs w:val="18"/>
              </w:rPr>
            </w:pPr>
            <w:r>
              <w:rPr>
                <w:color w:val="000000"/>
                <w:sz w:val="18"/>
                <w:szCs w:val="18"/>
              </w:rPr>
              <w:t>25227.45</w:t>
            </w:r>
          </w:p>
        </w:tc>
      </w:tr>
    </w:tbl>
    <w:p>
      <w:pPr>
        <w:ind w:firstLine="480"/>
        <w:rPr>
          <w:rFonts w:ascii="宋体" w:hAnsi="宋体"/>
          <w:color w:val="000000"/>
        </w:rPr>
      </w:pPr>
      <w:r>
        <w:rPr>
          <w:rFonts w:ascii="宋体" w:hAnsi="宋体"/>
          <w:color w:val="000000"/>
        </w:rPr>
        <w:t>通过</w:t>
      </w:r>
      <w:r>
        <w:rPr>
          <w:rFonts w:hint="eastAsia" w:ascii="宋体" w:hAnsi="宋体"/>
          <w:color w:val="000000"/>
        </w:rPr>
        <w:t>高标准农田</w:t>
      </w:r>
      <w:r>
        <w:rPr>
          <w:rFonts w:ascii="宋体" w:hAnsi="宋体"/>
          <w:color w:val="000000"/>
        </w:rPr>
        <w:t>项目的建设，</w:t>
      </w:r>
      <w:r>
        <w:rPr>
          <w:rFonts w:hint="eastAsia" w:ascii="宋体" w:hAnsi="宋体"/>
          <w:color w:val="000000"/>
        </w:rPr>
        <w:t>能够</w:t>
      </w:r>
      <w:r>
        <w:rPr>
          <w:rFonts w:ascii="宋体" w:hAnsi="宋体"/>
          <w:color w:val="000000"/>
        </w:rPr>
        <w:t>完善项目区水利</w:t>
      </w:r>
      <w:r>
        <w:rPr>
          <w:rFonts w:hint="eastAsia" w:ascii="宋体" w:hAnsi="宋体"/>
          <w:color w:val="000000"/>
        </w:rPr>
        <w:t>农业</w:t>
      </w:r>
      <w:r>
        <w:rPr>
          <w:rFonts w:ascii="宋体" w:hAnsi="宋体"/>
          <w:color w:val="000000"/>
        </w:rPr>
        <w:t>基础设施，</w:t>
      </w:r>
      <w:r>
        <w:rPr>
          <w:rFonts w:hint="eastAsia" w:ascii="宋体" w:hAnsi="宋体"/>
          <w:color w:val="000000"/>
        </w:rPr>
        <w:t>旱田改善面积</w:t>
      </w:r>
      <w:r>
        <w:rPr>
          <w:color w:val="000000"/>
        </w:rPr>
        <w:t>62.29</w:t>
      </w:r>
      <w:r>
        <w:rPr>
          <w:rFonts w:hint="eastAsia" w:ascii="宋体" w:hAnsi="宋体"/>
          <w:color w:val="000000"/>
        </w:rPr>
        <w:t>万亩</w:t>
      </w:r>
      <w:r>
        <w:rPr>
          <w:rFonts w:ascii="宋体" w:hAnsi="宋体"/>
          <w:color w:val="000000"/>
        </w:rPr>
        <w:t>。</w:t>
      </w:r>
      <w:r>
        <w:rPr>
          <w:rFonts w:hint="eastAsia" w:ascii="宋体" w:hAnsi="宋体"/>
          <w:color w:val="000000"/>
        </w:rPr>
        <w:t>规划</w:t>
      </w:r>
      <w:r>
        <w:rPr>
          <w:rFonts w:ascii="宋体" w:hAnsi="宋体"/>
          <w:color w:val="000000"/>
        </w:rPr>
        <w:t>通过水利工程建设，可确</w:t>
      </w:r>
      <w:r>
        <w:rPr>
          <w:rFonts w:hint="eastAsia" w:ascii="宋体" w:hAnsi="宋体"/>
          <w:color w:val="000000"/>
        </w:rPr>
        <w:t>高标准农田</w:t>
      </w:r>
      <w:r>
        <w:rPr>
          <w:rFonts w:ascii="宋体" w:hAnsi="宋体"/>
          <w:color w:val="000000"/>
        </w:rPr>
        <w:t>项目区水源供应，水土流失、耕地面积减少</w:t>
      </w:r>
      <w:r>
        <w:rPr>
          <w:rFonts w:hint="eastAsia" w:ascii="宋体" w:hAnsi="宋体"/>
          <w:color w:val="000000"/>
        </w:rPr>
        <w:t>、田间排水困难、交通不畅通</w:t>
      </w:r>
      <w:r>
        <w:rPr>
          <w:rFonts w:ascii="宋体" w:hAnsi="宋体"/>
          <w:color w:val="000000"/>
        </w:rPr>
        <w:t>等问题得到解决，通过农业措施的实施可提高粮食产量较以前有明显提高，经济效益较好。</w:t>
      </w:r>
      <w:r>
        <w:rPr>
          <w:rFonts w:hint="eastAsia" w:ascii="宋体" w:hAnsi="宋体"/>
          <w:color w:val="000000"/>
        </w:rPr>
        <w:t>预计</w:t>
      </w:r>
      <w:r>
        <w:rPr>
          <w:rFonts w:ascii="宋体" w:hAnsi="宋体"/>
          <w:color w:val="000000"/>
        </w:rPr>
        <w:t>项目建成后</w:t>
      </w:r>
      <w:r>
        <w:rPr>
          <w:rFonts w:hint="eastAsia" w:ascii="宋体" w:hAnsi="宋体"/>
          <w:color w:val="000000"/>
        </w:rPr>
        <w:t>旱田增产</w:t>
      </w:r>
      <w:r>
        <w:rPr>
          <w:color w:val="000000"/>
        </w:rPr>
        <w:t>3114.5</w:t>
      </w:r>
      <w:r>
        <w:rPr>
          <w:rFonts w:hint="eastAsia" w:ascii="宋体" w:hAnsi="宋体"/>
          <w:color w:val="000000"/>
        </w:rPr>
        <w:t>万公斤，</w:t>
      </w:r>
      <w:r>
        <w:rPr>
          <w:rFonts w:ascii="宋体" w:hAnsi="宋体"/>
          <w:color w:val="000000"/>
        </w:rPr>
        <w:t>项目区农民收入增加总额</w:t>
      </w:r>
      <w:r>
        <w:rPr>
          <w:color w:val="000000"/>
        </w:rPr>
        <w:t>9032.05</w:t>
      </w:r>
      <w:r>
        <w:rPr>
          <w:rFonts w:ascii="宋体" w:hAnsi="宋体"/>
          <w:color w:val="000000"/>
        </w:rPr>
        <w:t>万元。</w:t>
      </w:r>
    </w:p>
    <w:p>
      <w:pPr>
        <w:ind w:firstLine="480"/>
        <w:rPr>
          <w:rFonts w:ascii="宋体" w:hAnsi="宋体"/>
          <w:color w:val="000000"/>
        </w:rPr>
      </w:pPr>
      <w:r>
        <w:rPr>
          <w:rFonts w:ascii="宋体" w:hAnsi="宋体"/>
          <w:color w:val="000000"/>
        </w:rPr>
        <w:t>通过</w:t>
      </w:r>
      <w:r>
        <w:rPr>
          <w:rFonts w:hint="eastAsia" w:ascii="宋体" w:hAnsi="宋体"/>
          <w:color w:val="000000"/>
        </w:rPr>
        <w:t>高标准农田</w:t>
      </w:r>
      <w:r>
        <w:rPr>
          <w:rFonts w:ascii="宋体" w:hAnsi="宋体"/>
          <w:color w:val="000000"/>
        </w:rPr>
        <w:t>项目的建设，</w:t>
      </w:r>
      <w:r>
        <w:rPr>
          <w:rFonts w:hint="eastAsia" w:ascii="宋体" w:hAnsi="宋体"/>
          <w:color w:val="000000"/>
        </w:rPr>
        <w:t>粮食增产</w:t>
      </w:r>
      <w:r>
        <w:rPr>
          <w:color w:val="000000"/>
        </w:rPr>
        <w:t>4570.5</w:t>
      </w:r>
      <w:r>
        <w:rPr>
          <w:rFonts w:hint="eastAsia" w:ascii="宋体" w:hAnsi="宋体"/>
          <w:color w:val="000000"/>
        </w:rPr>
        <w:t>万公斤，</w:t>
      </w:r>
      <w:r>
        <w:rPr>
          <w:rFonts w:ascii="宋体" w:hAnsi="宋体"/>
          <w:color w:val="000000"/>
        </w:rPr>
        <w:t>项目区农民收入增加总额</w:t>
      </w:r>
      <w:r>
        <w:rPr>
          <w:color w:val="000000"/>
        </w:rPr>
        <w:t>13108.85</w:t>
      </w:r>
      <w:r>
        <w:rPr>
          <w:rFonts w:ascii="宋体" w:hAnsi="宋体"/>
          <w:color w:val="000000"/>
        </w:rPr>
        <w:t>万元。</w:t>
      </w:r>
    </w:p>
    <w:p>
      <w:pPr>
        <w:ind w:firstLine="480"/>
        <w:rPr>
          <w:rFonts w:hint="eastAsia"/>
          <w:color w:val="000000"/>
        </w:rPr>
      </w:pPr>
      <w:r>
        <w:rPr>
          <w:rFonts w:hint="eastAsia"/>
          <w:color w:val="000000"/>
        </w:rPr>
        <w:t>综合上述，</w:t>
      </w:r>
      <w:r>
        <w:rPr>
          <w:rFonts w:ascii="宋体" w:hAnsi="宋体"/>
          <w:color w:val="000000"/>
        </w:rPr>
        <w:t>通过</w:t>
      </w:r>
      <w:r>
        <w:rPr>
          <w:rFonts w:hint="eastAsia" w:ascii="宋体" w:hAnsi="宋体"/>
          <w:color w:val="000000"/>
        </w:rPr>
        <w:t>高标准农田</w:t>
      </w:r>
      <w:r>
        <w:rPr>
          <w:rFonts w:ascii="宋体" w:hAnsi="宋体"/>
          <w:color w:val="000000"/>
        </w:rPr>
        <w:t>项目的建设</w:t>
      </w:r>
      <w:r>
        <w:rPr>
          <w:rFonts w:hint="eastAsia" w:ascii="宋体" w:hAnsi="宋体"/>
          <w:color w:val="000000"/>
        </w:rPr>
        <w:t>，</w:t>
      </w:r>
      <w:r>
        <w:rPr>
          <w:rFonts w:hint="eastAsia"/>
          <w:color w:val="000000"/>
        </w:rPr>
        <w:t>新增建设高标准农田亩均提高粮食综合产能</w:t>
      </w:r>
      <w:r>
        <w:rPr>
          <w:color w:val="000000"/>
        </w:rPr>
        <w:t>5</w:t>
      </w:r>
      <w:r>
        <w:rPr>
          <w:rFonts w:hint="eastAsia"/>
          <w:color w:val="000000"/>
        </w:rPr>
        <w:t>0公斤。水田每亩耕地平均每年增收</w:t>
      </w:r>
      <w:r>
        <w:rPr>
          <w:color w:val="000000"/>
        </w:rPr>
        <w:t>140.00元</w:t>
      </w:r>
      <w:r>
        <w:rPr>
          <w:rFonts w:hint="eastAsia"/>
          <w:color w:val="000000"/>
        </w:rPr>
        <w:t>，旱田每亩耕地平均每年增收</w:t>
      </w:r>
      <w:r>
        <w:rPr>
          <w:color w:val="000000"/>
        </w:rPr>
        <w:t>145.00元。</w:t>
      </w:r>
    </w:p>
    <w:p>
      <w:pPr>
        <w:ind w:firstLine="480"/>
        <w:rPr>
          <w:rFonts w:hint="eastAsia"/>
          <w:color w:val="000000"/>
        </w:rPr>
      </w:pPr>
    </w:p>
    <w:p>
      <w:pPr>
        <w:pStyle w:val="3"/>
        <w:spacing w:before="120"/>
        <w:rPr>
          <w:color w:val="000000"/>
        </w:rPr>
      </w:pPr>
      <w:bookmarkStart w:id="73" w:name="_Toc97667869"/>
      <w:bookmarkStart w:id="74" w:name="_Toc119750212"/>
      <w:r>
        <w:rPr>
          <w:color w:val="000000"/>
        </w:rPr>
        <w:t>8.2</w:t>
      </w:r>
      <w:r>
        <w:rPr>
          <w:rFonts w:ascii="宋体" w:hAnsi="宋体"/>
          <w:color w:val="000000"/>
        </w:rPr>
        <w:t>社会效益</w:t>
      </w:r>
      <w:bookmarkEnd w:id="73"/>
      <w:bookmarkEnd w:id="74"/>
    </w:p>
    <w:p>
      <w:pPr>
        <w:pStyle w:val="4"/>
        <w:rPr>
          <w:snapToGrid/>
          <w:color w:val="000000"/>
        </w:rPr>
      </w:pPr>
      <w:bookmarkStart w:id="75" w:name="_Toc97667870"/>
      <w:r>
        <w:rPr>
          <w:snapToGrid/>
          <w:color w:val="000000"/>
        </w:rPr>
        <w:t>8.2.1</w:t>
      </w:r>
      <w:r>
        <w:rPr>
          <w:rFonts w:hint="eastAsia" w:cs="FZKTK--GBK1-0"/>
          <w:snapToGrid/>
          <w:color w:val="000000"/>
        </w:rPr>
        <w:t>增加粮食安全保障能力</w:t>
      </w:r>
    </w:p>
    <w:p>
      <w:pPr>
        <w:ind w:firstLine="480"/>
        <w:rPr>
          <w:snapToGrid/>
          <w:color w:val="000000"/>
        </w:rPr>
      </w:pPr>
      <w:r>
        <w:rPr>
          <w:rFonts w:hint="eastAsia"/>
          <w:snapToGrid/>
          <w:color w:val="000000"/>
        </w:rPr>
        <w:t>高标准农田建成后显著改善农业生产条件，有效提高土、肥、水资源利用率。预计到2030年，我县将建成高标准农田</w:t>
      </w:r>
      <w:r>
        <w:rPr>
          <w:snapToGrid/>
          <w:color w:val="000000"/>
        </w:rPr>
        <w:t>256.81</w:t>
      </w:r>
      <w:r>
        <w:rPr>
          <w:rFonts w:hint="eastAsia"/>
          <w:snapToGrid/>
          <w:color w:val="000000"/>
        </w:rPr>
        <w:t>万亩，改造提升高标准农田</w:t>
      </w:r>
      <w:r>
        <w:rPr>
          <w:snapToGrid/>
          <w:color w:val="000000"/>
        </w:rPr>
        <w:t>42</w:t>
      </w:r>
      <w:r>
        <w:rPr>
          <w:rFonts w:hint="eastAsia"/>
          <w:snapToGrid/>
          <w:color w:val="000000"/>
        </w:rPr>
        <w:t>万亩，为保障国家粮食安全和重要农产品供给提供有力支撑</w:t>
      </w:r>
      <w:r>
        <w:rPr>
          <w:rFonts w:hint="eastAsia" w:cs="E-BX"/>
          <w:snapToGrid/>
          <w:color w:val="000000"/>
        </w:rPr>
        <w:t>。</w:t>
      </w:r>
    </w:p>
    <w:p>
      <w:pPr>
        <w:pStyle w:val="4"/>
        <w:rPr>
          <w:snapToGrid/>
          <w:color w:val="000000"/>
        </w:rPr>
      </w:pPr>
      <w:r>
        <w:rPr>
          <w:snapToGrid/>
          <w:color w:val="000000"/>
        </w:rPr>
        <w:t>8.2.2</w:t>
      </w:r>
      <w:r>
        <w:rPr>
          <w:rFonts w:hint="eastAsia"/>
          <w:snapToGrid/>
          <w:color w:val="000000"/>
        </w:rPr>
        <w:t>有力促进适度规模化经营</w:t>
      </w:r>
    </w:p>
    <w:p>
      <w:pPr>
        <w:ind w:firstLine="480"/>
        <w:rPr>
          <w:rFonts w:hint="eastAsia"/>
          <w:snapToGrid/>
          <w:color w:val="000000"/>
        </w:rPr>
      </w:pPr>
      <w:r>
        <w:rPr>
          <w:rFonts w:hint="eastAsia"/>
          <w:snapToGrid/>
          <w:color w:val="000000"/>
        </w:rPr>
        <w:t>高标准农田建成后为新型农业经营主体发展规模经营提供良好条件，推动土地向种植大户、家庭农场、农民合作社等集中，发展多种形式的适度规模经营，推进农业生产的集约化、专业化、组织化和社会化。为农业新技术、新品种、新模式、新装备的示范推广创造条件，促进良种、良法、良田、良制的有效结合，提高农业科技进</w:t>
      </w:r>
    </w:p>
    <w:p>
      <w:pPr>
        <w:ind w:firstLine="0" w:firstLineChars="0"/>
        <w:rPr>
          <w:rFonts w:cs="E-BX"/>
          <w:snapToGrid/>
          <w:color w:val="000000"/>
        </w:rPr>
      </w:pPr>
      <w:r>
        <w:rPr>
          <w:rFonts w:hint="eastAsia"/>
          <w:snapToGrid/>
          <w:color w:val="000000"/>
        </w:rPr>
        <w:t>步水平</w:t>
      </w:r>
      <w:r>
        <w:rPr>
          <w:rFonts w:hint="eastAsia" w:cs="E-BX"/>
          <w:snapToGrid/>
          <w:color w:val="000000"/>
        </w:rPr>
        <w:t>。</w:t>
      </w:r>
    </w:p>
    <w:p>
      <w:pPr>
        <w:pStyle w:val="4"/>
        <w:rPr>
          <w:snapToGrid/>
          <w:color w:val="000000"/>
        </w:rPr>
      </w:pPr>
      <w:r>
        <w:rPr>
          <w:snapToGrid/>
          <w:color w:val="000000"/>
        </w:rPr>
        <w:t>8.2.3</w:t>
      </w:r>
      <w:r>
        <w:rPr>
          <w:rFonts w:hint="eastAsia"/>
          <w:snapToGrid/>
          <w:color w:val="000000"/>
        </w:rPr>
        <w:t>增加农民工资性收入</w:t>
      </w:r>
    </w:p>
    <w:p>
      <w:pPr>
        <w:ind w:firstLine="480"/>
        <w:rPr>
          <w:rFonts w:hint="eastAsia"/>
          <w:snapToGrid/>
          <w:color w:val="000000"/>
        </w:rPr>
      </w:pPr>
      <w:r>
        <w:rPr>
          <w:rFonts w:hint="eastAsia"/>
          <w:snapToGrid/>
          <w:color w:val="000000"/>
        </w:rPr>
        <w:t>高标准农田建设能够有效改善土地资源配置效率，进一步激活农业剩余劳动力的转移，为农业规模化、集约化、高效化经营提供广阔空间。同时可以使农民更充分地参与分享城市化、工业化的成果，显化集体土地资产价值，促进农民获得财产性增收。</w:t>
      </w:r>
    </w:p>
    <w:p>
      <w:pPr>
        <w:pStyle w:val="3"/>
        <w:spacing w:before="120"/>
        <w:rPr>
          <w:color w:val="000000"/>
        </w:rPr>
      </w:pPr>
      <w:bookmarkStart w:id="76" w:name="_Toc119750213"/>
      <w:r>
        <w:rPr>
          <w:color w:val="000000"/>
        </w:rPr>
        <w:t>8.3</w:t>
      </w:r>
      <w:r>
        <w:rPr>
          <w:rFonts w:ascii="宋体" w:hAnsi="宋体"/>
          <w:color w:val="000000"/>
        </w:rPr>
        <w:t>生态效益</w:t>
      </w:r>
      <w:bookmarkEnd w:id="75"/>
      <w:bookmarkEnd w:id="76"/>
    </w:p>
    <w:p>
      <w:pPr>
        <w:pStyle w:val="4"/>
        <w:rPr>
          <w:snapToGrid/>
          <w:color w:val="000000"/>
        </w:rPr>
      </w:pPr>
      <w:r>
        <w:rPr>
          <w:snapToGrid/>
          <w:color w:val="000000"/>
        </w:rPr>
        <w:t>8.3.1</w:t>
      </w:r>
      <w:r>
        <w:rPr>
          <w:rFonts w:hint="eastAsia" w:cs="FZKTK--GBK1-0"/>
          <w:snapToGrid/>
          <w:color w:val="000000"/>
        </w:rPr>
        <w:t>提升农田减排固碳能力</w:t>
      </w:r>
    </w:p>
    <w:p>
      <w:pPr>
        <w:ind w:firstLine="480"/>
        <w:rPr>
          <w:snapToGrid/>
          <w:color w:val="000000"/>
        </w:rPr>
      </w:pPr>
      <w:r>
        <w:rPr>
          <w:rFonts w:hint="eastAsia"/>
          <w:snapToGrid/>
          <w:color w:val="000000"/>
        </w:rPr>
        <w:t>通过保护性耕作、秸秆还田，平衡施肥、深松整地等农业技术措施的实施，降低土壤侵蚀，促进蓄水保墒，提高表层土壤有机碳含量，增强土壤固碳能力，土壤有机质含量将进一步增加，土壤理化性状得到改善，保水、保肥、通气能力明显增强，达到减肥、增产、固碳、降污多重效果</w:t>
      </w:r>
      <w:r>
        <w:rPr>
          <w:rFonts w:hint="eastAsia" w:cs="E-BX"/>
          <w:snapToGrid/>
          <w:color w:val="000000"/>
        </w:rPr>
        <w:t>。</w:t>
      </w:r>
    </w:p>
    <w:p>
      <w:pPr>
        <w:pStyle w:val="4"/>
        <w:rPr>
          <w:snapToGrid/>
          <w:color w:val="000000"/>
        </w:rPr>
      </w:pPr>
      <w:r>
        <w:rPr>
          <w:snapToGrid/>
          <w:color w:val="000000"/>
        </w:rPr>
        <w:t>8.3.2</w:t>
      </w:r>
      <w:r>
        <w:rPr>
          <w:rFonts w:hint="eastAsia"/>
          <w:snapToGrid/>
          <w:color w:val="000000"/>
        </w:rPr>
        <w:t>提高水土资源利用率</w:t>
      </w:r>
    </w:p>
    <w:p>
      <w:pPr>
        <w:ind w:firstLine="480"/>
        <w:rPr>
          <w:snapToGrid/>
          <w:color w:val="000000"/>
        </w:rPr>
      </w:pPr>
      <w:r>
        <w:rPr>
          <w:rFonts w:hint="eastAsia"/>
          <w:snapToGrid/>
          <w:color w:val="000000"/>
        </w:rPr>
        <w:t>通过不断完善农业节水机制，大力推广管道输水、渠道防渗、适水种植等综合节水措施，有效提高项目区灌溉用水的效率，对构建节水型社会具有重要意义</w:t>
      </w:r>
      <w:r>
        <w:rPr>
          <w:rFonts w:hint="eastAsia" w:cs="E-BX"/>
          <w:snapToGrid/>
          <w:color w:val="000000"/>
        </w:rPr>
        <w:t>。</w:t>
      </w:r>
    </w:p>
    <w:p>
      <w:pPr>
        <w:pStyle w:val="4"/>
        <w:rPr>
          <w:snapToGrid/>
          <w:color w:val="000000"/>
        </w:rPr>
      </w:pPr>
      <w:r>
        <w:rPr>
          <w:snapToGrid/>
          <w:color w:val="000000"/>
        </w:rPr>
        <w:t>8.3.3</w:t>
      </w:r>
      <w:r>
        <w:rPr>
          <w:rFonts w:hint="eastAsia"/>
          <w:snapToGrid/>
          <w:color w:val="000000"/>
        </w:rPr>
        <w:t>改善农业生态环境</w:t>
      </w:r>
    </w:p>
    <w:p>
      <w:pPr>
        <w:ind w:firstLine="480"/>
        <w:rPr>
          <w:rFonts w:hint="eastAsia"/>
          <w:snapToGrid/>
          <w:color w:val="000000"/>
        </w:rPr>
      </w:pPr>
      <w:r>
        <w:rPr>
          <w:rFonts w:hint="eastAsia"/>
          <w:snapToGrid/>
          <w:color w:val="000000"/>
        </w:rPr>
        <w:t>通过修建农田防护工程，可有效防风固沙、净化空气、减少水土流失、保护水土资源、减少或减轻自然灾害程度以及调节局部小气候、改善生态环境</w:t>
      </w:r>
      <w:r>
        <w:rPr>
          <w:rFonts w:hint="eastAsia" w:cs="E-BX"/>
          <w:snapToGrid/>
          <w:color w:val="000000"/>
        </w:rPr>
        <w:t>。</w:t>
      </w:r>
    </w:p>
    <w:p>
      <w:pPr>
        <w:pStyle w:val="2"/>
        <w:rPr>
          <w:rFonts w:hint="eastAsia"/>
          <w:color w:val="000000"/>
        </w:rPr>
      </w:pPr>
      <w:bookmarkStart w:id="77" w:name="_Toc97667888"/>
      <w:bookmarkStart w:id="78" w:name="_Toc119750214"/>
      <w:r>
        <w:rPr>
          <w:color w:val="000000"/>
        </w:rPr>
        <w:t>9</w:t>
      </w:r>
      <w:r>
        <w:rPr>
          <w:rFonts w:hint="eastAsia"/>
          <w:color w:val="000000"/>
        </w:rPr>
        <w:t>实施</w:t>
      </w:r>
      <w:r>
        <w:rPr>
          <w:color w:val="000000"/>
        </w:rPr>
        <w:t>保障</w:t>
      </w:r>
      <w:bookmarkEnd w:id="77"/>
      <w:bookmarkEnd w:id="78"/>
    </w:p>
    <w:p>
      <w:pPr>
        <w:pStyle w:val="3"/>
        <w:rPr>
          <w:color w:val="000000"/>
        </w:rPr>
      </w:pPr>
      <w:bookmarkStart w:id="79" w:name="_Toc119750215"/>
      <w:bookmarkStart w:id="80" w:name="_Toc97667893"/>
      <w:r>
        <w:rPr>
          <w:color w:val="000000"/>
        </w:rPr>
        <w:t>9.1加强组织领导</w:t>
      </w:r>
      <w:bookmarkEnd w:id="79"/>
      <w:bookmarkEnd w:id="80"/>
    </w:p>
    <w:p>
      <w:pPr>
        <w:pStyle w:val="4"/>
        <w:rPr>
          <w:snapToGrid/>
          <w:color w:val="000000"/>
        </w:rPr>
      </w:pPr>
      <w:bookmarkStart w:id="81" w:name="_Toc97667894"/>
      <w:r>
        <w:rPr>
          <w:snapToGrid/>
          <w:color w:val="000000"/>
        </w:rPr>
        <w:t>9.1.1</w:t>
      </w:r>
      <w:r>
        <w:rPr>
          <w:rFonts w:hint="eastAsia"/>
          <w:snapToGrid/>
          <w:color w:val="000000"/>
        </w:rPr>
        <w:t>完善体制机制</w:t>
      </w:r>
      <w:bookmarkEnd w:id="81"/>
    </w:p>
    <w:p>
      <w:pPr>
        <w:ind w:firstLine="480"/>
        <w:rPr>
          <w:rFonts w:hint="eastAsia" w:ascii="宋体" w:hAnsi="宋体"/>
          <w:snapToGrid/>
          <w:color w:val="000000"/>
          <w:szCs w:val="24"/>
        </w:rPr>
      </w:pPr>
      <w:r>
        <w:rPr>
          <w:rFonts w:hint="eastAsia" w:ascii="宋体" w:hAnsi="宋体"/>
          <w:snapToGrid/>
          <w:color w:val="000000"/>
          <w:szCs w:val="24"/>
        </w:rPr>
        <w:t>严格落实高标准农田建设“五统一”要求，即统一规划布局、统一建设标准、统一组织实施、统一验收考核、统一上图入库，构建集中统一高效的管理新体制。认真</w:t>
      </w:r>
    </w:p>
    <w:p>
      <w:pPr>
        <w:ind w:firstLine="0" w:firstLineChars="0"/>
        <w:rPr>
          <w:rFonts w:ascii="宋体" w:hAnsi="宋体"/>
          <w:snapToGrid/>
          <w:color w:val="000000"/>
          <w:szCs w:val="24"/>
        </w:rPr>
      </w:pPr>
      <w:r>
        <w:rPr>
          <w:rFonts w:hint="eastAsia" w:ascii="宋体" w:hAnsi="宋体"/>
          <w:snapToGrid/>
          <w:color w:val="000000"/>
          <w:szCs w:val="24"/>
        </w:rPr>
        <w:t>实行党中央统筹、省负总责、市县乡抓落实、群众参与的工作机制。由省级政府一把手负总责、分管领导直接负责的责任制，抓好规划实施、任务落实、资金保障、监督评价和运营管护等工作。与发展改革、财政、自然资源、水利等多部门联动，做好规划指导、资金投入、新增耕地核定和水资源利用等工作，协同推进高标准农田建设。地方农业农村部门要在本级人民政府的领导下，逐级落实好建设任务和工作责任，地方有关部门要按照职责分工，主动协作配合，确保各项工作任务按期完成。加强建设资金全过程绩效管理，科学设定绩效目标，做好绩效运行监控和评价，强化结果应用，提高资金使用效益</w:t>
      </w:r>
      <w:r>
        <w:rPr>
          <w:rFonts w:hint="eastAsia" w:ascii="宋体" w:hAnsi="宋体" w:cs="E-BX"/>
          <w:snapToGrid/>
          <w:color w:val="000000"/>
          <w:szCs w:val="24"/>
        </w:rPr>
        <w:t>。</w:t>
      </w:r>
    </w:p>
    <w:p>
      <w:pPr>
        <w:pStyle w:val="4"/>
        <w:rPr>
          <w:snapToGrid/>
          <w:color w:val="000000"/>
        </w:rPr>
      </w:pPr>
      <w:bookmarkStart w:id="82" w:name="_Toc97667895"/>
      <w:r>
        <w:rPr>
          <w:snapToGrid/>
          <w:color w:val="000000"/>
        </w:rPr>
        <w:t>9.1.2</w:t>
      </w:r>
      <w:r>
        <w:rPr>
          <w:rFonts w:hint="eastAsia"/>
          <w:snapToGrid/>
          <w:color w:val="000000"/>
        </w:rPr>
        <w:t>加强行业管理</w:t>
      </w:r>
      <w:bookmarkEnd w:id="82"/>
    </w:p>
    <w:p>
      <w:pPr>
        <w:ind w:firstLine="480"/>
        <w:rPr>
          <w:rFonts w:ascii="宋体" w:hAnsi="宋体"/>
          <w:snapToGrid/>
          <w:color w:val="000000"/>
          <w:szCs w:val="24"/>
        </w:rPr>
      </w:pPr>
      <w:r>
        <w:rPr>
          <w:rFonts w:hint="eastAsia" w:ascii="宋体" w:hAnsi="宋体"/>
          <w:snapToGrid/>
          <w:color w:val="000000"/>
          <w:szCs w:val="24"/>
        </w:rPr>
        <w:t>按照《吉林省农田建设项目管理实施办法》严格审查高标准农田建设从业机构资质，严禁降低勘察、设计、施工和监理等相关单位技术力量门槛，杜绝无资质或资质不符合要求的从业机构承接相关业务。大力推行信用承诺制度，依法依规建立健全高标准农田建设从业机构失信惩戒机制，加强行业动态监管，建立从业机构失信名单，推动行业自律</w:t>
      </w:r>
      <w:r>
        <w:rPr>
          <w:rFonts w:hint="eastAsia" w:ascii="宋体" w:hAnsi="宋体" w:cs="E-BX"/>
          <w:snapToGrid/>
          <w:color w:val="000000"/>
          <w:szCs w:val="24"/>
        </w:rPr>
        <w:t>。</w:t>
      </w:r>
    </w:p>
    <w:p>
      <w:pPr>
        <w:pStyle w:val="4"/>
        <w:rPr>
          <w:snapToGrid/>
          <w:color w:val="000000"/>
        </w:rPr>
      </w:pPr>
      <w:bookmarkStart w:id="83" w:name="_Toc97667896"/>
      <w:r>
        <w:rPr>
          <w:snapToGrid/>
          <w:color w:val="000000"/>
        </w:rPr>
        <w:t>9.1.3</w:t>
      </w:r>
      <w:r>
        <w:rPr>
          <w:rFonts w:hint="eastAsia"/>
          <w:snapToGrid/>
          <w:color w:val="000000"/>
        </w:rPr>
        <w:t>加</w:t>
      </w:r>
      <w:r>
        <w:rPr>
          <w:rFonts w:hint="eastAsia" w:cs="FZKTK--GBK1-0"/>
          <w:snapToGrid/>
          <w:color w:val="000000"/>
          <w:sz w:val="24"/>
        </w:rPr>
        <w:t>强队伍建设</w:t>
      </w:r>
      <w:bookmarkEnd w:id="83"/>
    </w:p>
    <w:p>
      <w:pPr>
        <w:ind w:firstLine="480"/>
        <w:rPr>
          <w:rFonts w:ascii="宋体" w:hAnsi="宋体"/>
          <w:snapToGrid/>
          <w:color w:val="000000"/>
          <w:szCs w:val="24"/>
        </w:rPr>
      </w:pPr>
      <w:r>
        <w:rPr>
          <w:rFonts w:hint="eastAsia" w:ascii="宋体" w:hAnsi="宋体"/>
          <w:snapToGrid/>
          <w:color w:val="000000"/>
          <w:szCs w:val="24"/>
        </w:rPr>
        <w:t>重点加强县乡两级农田建设管理和技术服务体系队伍建设，快速培养一批懂农田、会管理的干部队伍，加快形成分工明确、层次清晰、上下衔接的基层人才队伍体系。加大培训力度，加强业务学习，促进经验交流，着力提升农田建设管理人员的业务能力和综合素质。</w:t>
      </w:r>
    </w:p>
    <w:p>
      <w:pPr>
        <w:pStyle w:val="3"/>
        <w:rPr>
          <w:color w:val="000000"/>
        </w:rPr>
      </w:pPr>
      <w:bookmarkStart w:id="84" w:name="_Toc97667889"/>
      <w:bookmarkStart w:id="85" w:name="_Toc104821041"/>
      <w:bookmarkStart w:id="86" w:name="_Toc119750216"/>
      <w:r>
        <w:rPr>
          <w:color w:val="000000"/>
        </w:rPr>
        <w:t>9.2</w:t>
      </w:r>
      <w:r>
        <w:rPr>
          <w:rFonts w:hint="eastAsia"/>
          <w:color w:val="000000"/>
        </w:rPr>
        <w:t>推进</w:t>
      </w:r>
      <w:r>
        <w:rPr>
          <w:color w:val="000000"/>
        </w:rPr>
        <w:t>规划</w:t>
      </w:r>
      <w:bookmarkEnd w:id="84"/>
      <w:bookmarkEnd w:id="85"/>
      <w:r>
        <w:rPr>
          <w:rFonts w:hint="eastAsia"/>
          <w:color w:val="000000"/>
        </w:rPr>
        <w:t>指导</w:t>
      </w:r>
      <w:bookmarkEnd w:id="86"/>
    </w:p>
    <w:p>
      <w:pPr>
        <w:pStyle w:val="4"/>
        <w:rPr>
          <w:snapToGrid/>
          <w:color w:val="000000"/>
        </w:rPr>
      </w:pPr>
      <w:bookmarkStart w:id="87" w:name="_Toc97667890"/>
      <w:r>
        <w:rPr>
          <w:snapToGrid/>
          <w:color w:val="000000"/>
        </w:rPr>
        <w:t>9.2.1</w:t>
      </w:r>
      <w:r>
        <w:rPr>
          <w:rFonts w:hint="eastAsia"/>
          <w:snapToGrid/>
          <w:color w:val="000000"/>
        </w:rPr>
        <w:t>构建规划体系</w:t>
      </w:r>
      <w:bookmarkEnd w:id="87"/>
    </w:p>
    <w:p>
      <w:pPr>
        <w:ind w:firstLine="480"/>
        <w:rPr>
          <w:snapToGrid/>
          <w:color w:val="000000"/>
        </w:rPr>
      </w:pPr>
      <w:r>
        <w:rPr>
          <w:rFonts w:hint="eastAsia"/>
          <w:snapToGrid/>
          <w:color w:val="000000"/>
        </w:rPr>
        <w:t>为建立国家、省、市、县四级建设规划体系，各地依据本《吉林省高标准农田建设规划（2</w:t>
      </w:r>
      <w:r>
        <w:rPr>
          <w:snapToGrid/>
          <w:color w:val="000000"/>
        </w:rPr>
        <w:t>021-2030</w:t>
      </w:r>
      <w:r>
        <w:rPr>
          <w:rFonts w:hint="eastAsia"/>
          <w:snapToGrid/>
          <w:color w:val="000000"/>
        </w:rPr>
        <w:t>年）》的建设目标任务分解，编制本地区高标准农田建设规划，优化建设布局。市级要细化相关措施和工作制度，按照统筹整合资金、衔接建设布局的要求，在规划中明确县域高标准农田建设的重点项目和资金安排。县级建设规划需将资金和项目落实到具体地块，明确时序安排，做到统一标准、配套建设、连片治理、整体推进。</w:t>
      </w:r>
    </w:p>
    <w:p>
      <w:pPr>
        <w:ind w:firstLine="480"/>
        <w:rPr>
          <w:rFonts w:cs="E-BX"/>
          <w:snapToGrid/>
          <w:color w:val="000000"/>
        </w:rPr>
      </w:pPr>
      <w:r>
        <w:rPr>
          <w:rFonts w:hint="eastAsia"/>
          <w:snapToGrid/>
          <w:color w:val="000000"/>
        </w:rPr>
        <w:t>镇赉县在体系中积极做好县级规划这重要一环，规划过程中与上级规划多沟通、听指挥，保障县级规划既符合当地农业经济发展规律，又符合上级规划的发展要求</w:t>
      </w:r>
      <w:r>
        <w:rPr>
          <w:rFonts w:hint="eastAsia" w:cs="E-BX"/>
          <w:snapToGrid/>
          <w:color w:val="000000"/>
        </w:rPr>
        <w:t>，</w:t>
      </w:r>
      <w:r>
        <w:rPr>
          <w:rFonts w:hint="eastAsia"/>
          <w:snapToGrid/>
          <w:color w:val="000000"/>
        </w:rPr>
        <w:t>在全面摸清高标准农田数量</w:t>
      </w:r>
      <w:r>
        <w:rPr>
          <w:rFonts w:hint="eastAsia" w:cs="E-BX"/>
          <w:snapToGrid/>
          <w:color w:val="000000"/>
        </w:rPr>
        <w:t>、</w:t>
      </w:r>
      <w:r>
        <w:rPr>
          <w:rFonts w:hint="eastAsia"/>
          <w:snapToGrid/>
          <w:color w:val="000000"/>
        </w:rPr>
        <w:t>质量等底数情况的基础上</w:t>
      </w:r>
      <w:r>
        <w:rPr>
          <w:rFonts w:cs="E-BX"/>
          <w:snapToGrid/>
          <w:color w:val="000000"/>
        </w:rPr>
        <w:t>，</w:t>
      </w:r>
      <w:r>
        <w:rPr>
          <w:rFonts w:hint="eastAsia"/>
          <w:snapToGrid/>
          <w:color w:val="000000"/>
        </w:rPr>
        <w:t>根据本规划确定的总体目标和任务要求</w:t>
      </w:r>
      <w:r>
        <w:rPr>
          <w:rFonts w:cs="E-BX"/>
          <w:snapToGrid/>
          <w:color w:val="000000"/>
        </w:rPr>
        <w:t>，</w:t>
      </w:r>
      <w:r>
        <w:rPr>
          <w:rFonts w:hint="eastAsia"/>
          <w:snapToGrid/>
          <w:color w:val="000000"/>
        </w:rPr>
        <w:t>编制本地区高标准农田建设规划</w:t>
      </w:r>
      <w:r>
        <w:rPr>
          <w:rFonts w:cs="E-BX"/>
          <w:snapToGrid/>
          <w:color w:val="000000"/>
        </w:rPr>
        <w:t>，</w:t>
      </w:r>
      <w:r>
        <w:rPr>
          <w:rFonts w:hint="eastAsia"/>
          <w:snapToGrid/>
          <w:color w:val="000000"/>
        </w:rPr>
        <w:t>将建设总体任务分解落实到乡镇</w:t>
      </w:r>
      <w:r>
        <w:rPr>
          <w:rFonts w:hint="eastAsia" w:cs="E-BX"/>
          <w:snapToGrid/>
          <w:color w:val="000000"/>
        </w:rPr>
        <w:t>、</w:t>
      </w:r>
      <w:r>
        <w:rPr>
          <w:rFonts w:hint="eastAsia"/>
          <w:snapToGrid/>
          <w:color w:val="000000"/>
        </w:rPr>
        <w:t>各项建设任务落实到地块</w:t>
      </w:r>
      <w:r>
        <w:rPr>
          <w:rFonts w:cs="E-BX"/>
          <w:snapToGrid/>
          <w:color w:val="000000"/>
        </w:rPr>
        <w:t>，</w:t>
      </w:r>
      <w:r>
        <w:rPr>
          <w:rFonts w:hint="eastAsia"/>
          <w:snapToGrid/>
          <w:color w:val="000000"/>
        </w:rPr>
        <w:t>明确时序安排</w:t>
      </w:r>
      <w:r>
        <w:rPr>
          <w:rFonts w:hint="eastAsia" w:cs="E-BX"/>
          <w:snapToGrid/>
          <w:color w:val="000000"/>
        </w:rPr>
        <w:t>。</w:t>
      </w:r>
    </w:p>
    <w:p>
      <w:pPr>
        <w:pStyle w:val="4"/>
        <w:rPr>
          <w:snapToGrid/>
          <w:color w:val="000000"/>
        </w:rPr>
      </w:pPr>
      <w:bookmarkStart w:id="88" w:name="_Toc97667891"/>
      <w:r>
        <w:rPr>
          <w:snapToGrid/>
          <w:color w:val="000000"/>
        </w:rPr>
        <w:t>9.2.2</w:t>
      </w:r>
      <w:r>
        <w:rPr>
          <w:rFonts w:hint="eastAsia"/>
          <w:snapToGrid/>
          <w:color w:val="000000"/>
        </w:rPr>
        <w:t>做好规划衔接</w:t>
      </w:r>
      <w:bookmarkEnd w:id="88"/>
    </w:p>
    <w:p>
      <w:pPr>
        <w:ind w:firstLine="480"/>
        <w:rPr>
          <w:snapToGrid/>
          <w:color w:val="000000"/>
        </w:rPr>
      </w:pPr>
      <w:r>
        <w:rPr>
          <w:rFonts w:hint="eastAsia"/>
          <w:snapToGrid/>
          <w:color w:val="000000"/>
        </w:rPr>
        <w:t>我县在编制本级高标准农田建设规划时，在对本级高标准农田建设目标、建设任务、建设布局以及重大项目安排上，要充分做好与当地乡村振兴、国土空间、水利、电力、交通道路等已经批准的相关规划衔接，避免出现规划冲突和投资浪费。综合考虑资源承载力、城镇化进程等因素，落实高标准农田建设区域，明确建设的重点区域、限制区域和禁止区域，确保规划落地。</w:t>
      </w:r>
    </w:p>
    <w:p>
      <w:pPr>
        <w:pStyle w:val="4"/>
        <w:rPr>
          <w:snapToGrid/>
          <w:color w:val="000000"/>
        </w:rPr>
      </w:pPr>
      <w:bookmarkStart w:id="89" w:name="_Toc97667892"/>
      <w:r>
        <w:rPr>
          <w:snapToGrid/>
          <w:color w:val="000000"/>
        </w:rPr>
        <w:t>9.2.3</w:t>
      </w:r>
      <w:r>
        <w:rPr>
          <w:rFonts w:hint="eastAsia"/>
          <w:snapToGrid/>
          <w:color w:val="000000"/>
        </w:rPr>
        <w:t>开展规划评估</w:t>
      </w:r>
      <w:bookmarkEnd w:id="89"/>
    </w:p>
    <w:p>
      <w:pPr>
        <w:ind w:firstLine="480"/>
        <w:rPr>
          <w:snapToGrid/>
          <w:color w:val="000000"/>
        </w:rPr>
      </w:pPr>
      <w:r>
        <w:rPr>
          <w:rFonts w:hint="eastAsia"/>
          <w:snapToGrid/>
          <w:color w:val="000000"/>
        </w:rPr>
        <w:t>在规划实施中期，根据国家统一部署，镇赉县农业农村局采用自查自评与第三方独立评价相结合的方式，跟踪监测规划实施进程，总结规划推进过程中存在的问题和实施建议，确保规划发挥好引领作用。</w:t>
      </w:r>
    </w:p>
    <w:p>
      <w:pPr>
        <w:pStyle w:val="3"/>
        <w:rPr>
          <w:color w:val="000000"/>
        </w:rPr>
      </w:pPr>
      <w:bookmarkStart w:id="90" w:name="_Toc97667897"/>
      <w:bookmarkStart w:id="91" w:name="_Toc119750217"/>
      <w:r>
        <w:rPr>
          <w:color w:val="000000"/>
        </w:rPr>
        <w:t>9.3</w:t>
      </w:r>
      <w:r>
        <w:rPr>
          <w:rFonts w:hint="eastAsia"/>
          <w:color w:val="000000"/>
        </w:rPr>
        <w:t>加强</w:t>
      </w:r>
      <w:r>
        <w:rPr>
          <w:color w:val="000000"/>
        </w:rPr>
        <w:t>资金保障</w:t>
      </w:r>
      <w:bookmarkEnd w:id="90"/>
      <w:bookmarkEnd w:id="91"/>
    </w:p>
    <w:p>
      <w:pPr>
        <w:pStyle w:val="4"/>
        <w:rPr>
          <w:snapToGrid/>
          <w:color w:val="000000"/>
        </w:rPr>
      </w:pPr>
      <w:bookmarkStart w:id="92" w:name="_Toc97667898"/>
      <w:r>
        <w:rPr>
          <w:snapToGrid/>
          <w:color w:val="000000"/>
        </w:rPr>
        <w:t>9.3.1</w:t>
      </w:r>
      <w:r>
        <w:rPr>
          <w:rFonts w:hint="eastAsia" w:cs="FZKTK--GBK1-0"/>
          <w:snapToGrid/>
          <w:color w:val="000000"/>
        </w:rPr>
        <w:t>加强政府投入保障</w:t>
      </w:r>
      <w:bookmarkEnd w:id="92"/>
    </w:p>
    <w:p>
      <w:pPr>
        <w:ind w:firstLine="480"/>
        <w:rPr>
          <w:snapToGrid/>
          <w:color w:val="000000"/>
        </w:rPr>
      </w:pPr>
      <w:r>
        <w:rPr>
          <w:rFonts w:hint="eastAsia"/>
          <w:snapToGrid/>
          <w:color w:val="000000"/>
        </w:rPr>
        <w:t>各地人民政府要加强组织领导和统筹协调，将农田建设作为重点事项，优化财政支出结构，按规定及时落实地方资金，强化建设进度和质量管理，明确地方投入责任，根据高标准农田建设任务、建设标准和建设成本变化，切实保障高标准农田建设资金足额到位。政府承担起地方主要投入责任，调整完善土地出让收入使用范围，整合使用土地出让收入中用于农业农村的资金，重点扶持高标准农田建设项目。鼓励有条件的县市提高项目建设标准、扩大项目建设规模</w:t>
      </w:r>
      <w:r>
        <w:rPr>
          <w:rFonts w:hint="eastAsia" w:cs="E-BX"/>
          <w:snapToGrid/>
          <w:color w:val="000000"/>
        </w:rPr>
        <w:t>。</w:t>
      </w:r>
    </w:p>
    <w:p>
      <w:pPr>
        <w:pStyle w:val="4"/>
        <w:rPr>
          <w:snapToGrid/>
          <w:color w:val="000000"/>
        </w:rPr>
      </w:pPr>
      <w:bookmarkStart w:id="93" w:name="_Toc97667899"/>
      <w:r>
        <w:rPr>
          <w:snapToGrid/>
          <w:color w:val="000000"/>
        </w:rPr>
        <w:t>9.3.2</w:t>
      </w:r>
      <w:r>
        <w:rPr>
          <w:rFonts w:hint="eastAsia"/>
          <w:snapToGrid/>
          <w:color w:val="000000"/>
        </w:rPr>
        <w:t>建立多元化筹资机制</w:t>
      </w:r>
      <w:bookmarkEnd w:id="93"/>
    </w:p>
    <w:p>
      <w:pPr>
        <w:ind w:firstLine="480"/>
        <w:rPr>
          <w:snapToGrid/>
          <w:color w:val="000000"/>
        </w:rPr>
      </w:pPr>
      <w:r>
        <w:rPr>
          <w:rFonts w:hint="eastAsia"/>
          <w:snapToGrid/>
          <w:color w:val="000000"/>
        </w:rPr>
        <w:t>镇赉县政府有序引导金融、社会资本、新型农业经营主体投入高标准农田建设。在严格规范政府债务管理的同时，重点支持符合专项债券发行使用条件的高标准农田建设。完善新增耕地指标调剂收益使用机制，调剂收益优先用于高标准农田建设，拓展高标准农田建设资金筹措来源。鼓励农民和农村集体经济组织自主筹资投劳，参与高标准农田建设和运营管理</w:t>
      </w:r>
      <w:r>
        <w:rPr>
          <w:rFonts w:hint="eastAsia" w:cs="E-BX"/>
          <w:snapToGrid/>
          <w:color w:val="000000"/>
        </w:rPr>
        <w:t>。</w:t>
      </w:r>
    </w:p>
    <w:p>
      <w:pPr>
        <w:pStyle w:val="4"/>
        <w:rPr>
          <w:snapToGrid/>
          <w:color w:val="000000"/>
        </w:rPr>
      </w:pPr>
      <w:bookmarkStart w:id="94" w:name="_Toc97667900"/>
      <w:r>
        <w:rPr>
          <w:snapToGrid/>
          <w:color w:val="000000"/>
        </w:rPr>
        <w:t>9.3.3</w:t>
      </w:r>
      <w:r>
        <w:rPr>
          <w:rFonts w:hint="eastAsia"/>
          <w:snapToGrid/>
          <w:color w:val="000000"/>
        </w:rPr>
        <w:t>统筹整合资金</w:t>
      </w:r>
      <w:bookmarkEnd w:id="94"/>
    </w:p>
    <w:p>
      <w:pPr>
        <w:ind w:firstLine="480"/>
        <w:rPr>
          <w:rFonts w:hint="eastAsia"/>
          <w:snapToGrid/>
          <w:color w:val="000000"/>
        </w:rPr>
      </w:pPr>
      <w:r>
        <w:rPr>
          <w:rFonts w:hint="eastAsia"/>
          <w:snapToGrid/>
          <w:color w:val="000000"/>
        </w:rPr>
        <w:t>积极探索先建后补、以奖代补、政府和社会资本合作等多元投入模式，引导项目受益对象和农村集体经济组织等筹资投劳，撬动更多的工商资本和新型农业经营主体</w:t>
      </w:r>
    </w:p>
    <w:p>
      <w:pPr>
        <w:ind w:firstLine="0" w:firstLineChars="0"/>
        <w:rPr>
          <w:rFonts w:hint="eastAsia"/>
          <w:snapToGrid/>
          <w:color w:val="000000"/>
        </w:rPr>
      </w:pPr>
      <w:r>
        <w:rPr>
          <w:rFonts w:hint="eastAsia"/>
          <w:snapToGrid/>
          <w:color w:val="000000"/>
        </w:rPr>
        <w:t>自筹资金投向高标准农田建设。按照规定统筹性质相同、用途相近的涉农资金，按照“渠道不乱、用途不变、集中投入、各负其责、各计其功”的原则，以项目整合促进资金整合，支持高标准农田建设，全面提升政策合力，提高资金使用效益</w:t>
      </w:r>
      <w:r>
        <w:rPr>
          <w:rFonts w:hint="eastAsia" w:cs="E-BX"/>
          <w:snapToGrid/>
          <w:color w:val="000000"/>
        </w:rPr>
        <w:t>。</w:t>
      </w:r>
    </w:p>
    <w:p>
      <w:pPr>
        <w:pStyle w:val="3"/>
        <w:rPr>
          <w:color w:val="000000"/>
        </w:rPr>
      </w:pPr>
      <w:bookmarkStart w:id="95" w:name="_Toc97667901"/>
      <w:bookmarkStart w:id="96" w:name="_Toc119750218"/>
      <w:r>
        <w:rPr>
          <w:color w:val="000000"/>
        </w:rPr>
        <w:t>9.4</w:t>
      </w:r>
      <w:bookmarkEnd w:id="95"/>
      <w:r>
        <w:rPr>
          <w:rFonts w:hint="eastAsia"/>
          <w:color w:val="000000"/>
        </w:rPr>
        <w:t>加大科技支撑</w:t>
      </w:r>
      <w:bookmarkEnd w:id="96"/>
    </w:p>
    <w:p>
      <w:pPr>
        <w:pStyle w:val="4"/>
        <w:rPr>
          <w:snapToGrid/>
          <w:color w:val="000000"/>
        </w:rPr>
      </w:pPr>
      <w:bookmarkStart w:id="97" w:name="_Toc97667902"/>
      <w:r>
        <w:rPr>
          <w:snapToGrid/>
          <w:color w:val="000000"/>
        </w:rPr>
        <w:t>9.4.1</w:t>
      </w:r>
      <w:bookmarkEnd w:id="97"/>
      <w:r>
        <w:rPr>
          <w:rFonts w:hint="eastAsia"/>
          <w:snapToGrid/>
          <w:color w:val="000000"/>
        </w:rPr>
        <w:t>推动技术合作</w:t>
      </w:r>
    </w:p>
    <w:p>
      <w:pPr>
        <w:ind w:firstLine="480"/>
        <w:rPr>
          <w:rFonts w:hint="eastAsia"/>
          <w:snapToGrid/>
          <w:color w:val="000000"/>
        </w:rPr>
      </w:pPr>
      <w:r>
        <w:rPr>
          <w:rFonts w:hint="eastAsia"/>
          <w:snapToGrid/>
          <w:color w:val="000000"/>
        </w:rPr>
        <w:t>加强科技研发前瞻布局，积极推动各地方与科研机构开展技术创新合作。以中国科学院东北地理与农业生态应用研究所、中国农业大学、吉林省农业科学院、吉林省</w:t>
      </w:r>
    </w:p>
    <w:p>
      <w:pPr>
        <w:ind w:firstLine="0" w:firstLineChars="0"/>
        <w:rPr>
          <w:snapToGrid/>
          <w:color w:val="000000"/>
        </w:rPr>
      </w:pPr>
      <w:r>
        <w:rPr>
          <w:rFonts w:hint="eastAsia"/>
          <w:snapToGrid/>
          <w:color w:val="000000"/>
        </w:rPr>
        <w:t>水土保持科学研究院等科研院所及高校的技术为依托，因地制宜，明确目标，集中优势力量，加强技术创新。为成熟的技术成果推广应用提供政策扶持，以加快技术扩散和产业化进程。</w:t>
      </w:r>
    </w:p>
    <w:p>
      <w:pPr>
        <w:pStyle w:val="4"/>
        <w:rPr>
          <w:snapToGrid/>
          <w:color w:val="000000"/>
        </w:rPr>
      </w:pPr>
      <w:bookmarkStart w:id="98" w:name="_Toc97667903"/>
      <w:r>
        <w:rPr>
          <w:snapToGrid/>
          <w:color w:val="000000"/>
        </w:rPr>
        <w:t>9.4.2</w:t>
      </w:r>
      <w:r>
        <w:rPr>
          <w:rFonts w:hint="eastAsia"/>
          <w:snapToGrid/>
          <w:color w:val="000000"/>
        </w:rPr>
        <w:t>建立技术创新机制</w:t>
      </w:r>
      <w:bookmarkEnd w:id="98"/>
    </w:p>
    <w:p>
      <w:pPr>
        <w:ind w:firstLine="480"/>
        <w:rPr>
          <w:snapToGrid/>
          <w:color w:val="000000"/>
        </w:rPr>
      </w:pPr>
      <w:r>
        <w:rPr>
          <w:rFonts w:hint="eastAsia"/>
          <w:snapToGrid/>
          <w:color w:val="000000"/>
        </w:rPr>
        <w:t>建立产学研用深度融合的技术创新机制</w:t>
      </w:r>
      <w:r>
        <w:rPr>
          <w:snapToGrid/>
          <w:color w:val="000000"/>
        </w:rPr>
        <w:t>，</w:t>
      </w:r>
      <w:r>
        <w:rPr>
          <w:rFonts w:hint="eastAsia"/>
          <w:snapToGrid/>
          <w:color w:val="000000"/>
        </w:rPr>
        <w:t>鼓励农田建设领域内各类创新主体建立创新联盟</w:t>
      </w:r>
      <w:r>
        <w:rPr>
          <w:snapToGrid/>
          <w:color w:val="000000"/>
        </w:rPr>
        <w:t>，</w:t>
      </w:r>
      <w:r>
        <w:rPr>
          <w:rFonts w:hint="eastAsia"/>
          <w:snapToGrid/>
          <w:color w:val="000000"/>
        </w:rPr>
        <w:t>建立关键核心技术攻关机制。建设一批长期定位监测点、技术创新中心等科研平台</w:t>
      </w:r>
      <w:r>
        <w:rPr>
          <w:snapToGrid/>
          <w:color w:val="000000"/>
        </w:rPr>
        <w:t>，</w:t>
      </w:r>
      <w:r>
        <w:rPr>
          <w:rFonts w:hint="eastAsia"/>
          <w:snapToGrid/>
          <w:color w:val="000000"/>
        </w:rPr>
        <w:t>加大资源开放和数据共享力度</w:t>
      </w:r>
      <w:r>
        <w:rPr>
          <w:snapToGrid/>
          <w:color w:val="000000"/>
        </w:rPr>
        <w:t>，</w:t>
      </w:r>
      <w:r>
        <w:rPr>
          <w:rFonts w:hint="eastAsia"/>
          <w:snapToGrid/>
          <w:color w:val="000000"/>
        </w:rPr>
        <w:t>优化科研平台管理机制。</w:t>
      </w:r>
    </w:p>
    <w:p>
      <w:pPr>
        <w:pStyle w:val="4"/>
        <w:rPr>
          <w:snapToGrid/>
          <w:color w:val="000000"/>
        </w:rPr>
      </w:pPr>
      <w:bookmarkStart w:id="99" w:name="_Toc97667904"/>
      <w:r>
        <w:rPr>
          <w:snapToGrid/>
          <w:color w:val="000000"/>
        </w:rPr>
        <w:t>9.4.3</w:t>
      </w:r>
      <w:r>
        <w:rPr>
          <w:rFonts w:hint="eastAsia"/>
          <w:snapToGrid/>
          <w:color w:val="000000"/>
          <w:sz w:val="24"/>
          <w:szCs w:val="20"/>
        </w:rPr>
        <w:t>强化科技示范</w:t>
      </w:r>
      <w:bookmarkEnd w:id="99"/>
      <w:r>
        <w:rPr>
          <w:rFonts w:hint="eastAsia"/>
          <w:snapToGrid/>
          <w:color w:val="000000"/>
          <w:sz w:val="24"/>
          <w:szCs w:val="20"/>
        </w:rPr>
        <w:t>引领</w:t>
      </w:r>
    </w:p>
    <w:p>
      <w:pPr>
        <w:ind w:firstLine="480"/>
        <w:rPr>
          <w:rFonts w:hint="eastAsia"/>
          <w:snapToGrid/>
          <w:color w:val="000000"/>
        </w:rPr>
      </w:pPr>
      <w:r>
        <w:rPr>
          <w:rFonts w:hint="eastAsia"/>
          <w:snapToGrid/>
          <w:color w:val="000000"/>
        </w:rPr>
        <w:t>在提升产能潜力大、基础条件好、积极性高的地区，加强资源整合，大力引进先进使用技术，提高建设标准，推进高标准农田建设示范。开展绿色农田、数字农田建设示范，推动耕地质量保护提升、生态涵养、农业面源污染防治，提升农田生态功能。选取一批土壤盐碱化、酸化、退化及干旱、内涝、水土流失等区域，针对农业生产存在的主要障碍因素，采取专项工程措施开展高标准农田建设，引领相同类型区域高标准农田建设。</w:t>
      </w:r>
    </w:p>
    <w:p>
      <w:pPr>
        <w:pStyle w:val="3"/>
        <w:rPr>
          <w:color w:val="000000"/>
        </w:rPr>
      </w:pPr>
      <w:bookmarkStart w:id="100" w:name="_Toc97667905"/>
      <w:bookmarkStart w:id="101" w:name="_Toc119750219"/>
      <w:r>
        <w:rPr>
          <w:color w:val="000000"/>
        </w:rPr>
        <w:t>9.5</w:t>
      </w:r>
      <w:bookmarkEnd w:id="100"/>
      <w:bookmarkStart w:id="102" w:name="_Toc75933406"/>
      <w:r>
        <w:rPr>
          <w:rFonts w:hint="eastAsia"/>
          <w:color w:val="000000"/>
        </w:rPr>
        <w:t>严格监督考核</w:t>
      </w:r>
      <w:bookmarkEnd w:id="101"/>
    </w:p>
    <w:p>
      <w:pPr>
        <w:pStyle w:val="4"/>
        <w:rPr>
          <w:snapToGrid/>
          <w:color w:val="000000"/>
        </w:rPr>
      </w:pPr>
      <w:r>
        <w:rPr>
          <w:snapToGrid/>
          <w:color w:val="000000"/>
        </w:rPr>
        <w:t>9.5.1</w:t>
      </w:r>
      <w:r>
        <w:rPr>
          <w:rFonts w:hint="eastAsia"/>
          <w:snapToGrid/>
          <w:color w:val="000000"/>
        </w:rPr>
        <w:t>强化激励考核</w:t>
      </w:r>
    </w:p>
    <w:p>
      <w:pPr>
        <w:ind w:firstLine="480"/>
        <w:rPr>
          <w:rFonts w:ascii="宋体" w:hAnsi="宋体"/>
          <w:snapToGrid/>
          <w:color w:val="000000"/>
          <w:szCs w:val="24"/>
        </w:rPr>
      </w:pPr>
      <w:r>
        <w:rPr>
          <w:rFonts w:hint="eastAsia" w:ascii="宋体" w:hAnsi="宋体"/>
          <w:snapToGrid/>
          <w:color w:val="000000"/>
          <w:szCs w:val="24"/>
        </w:rPr>
        <w:t>按照相关激励措施要求，定期组织开展高标准农田建设年度评价激励工作，强化评价激励结果运用，把高标准农田建设实施成效纳入地方各级党委和政府及有关部门的年度绩效考评内容，将年度任务完成情况上报省政府，并通报地方，对完成任务较好的县市予以奖励，对未按时完成任务的县市予以通报约谈，确保规划目标任务如期完成</w:t>
      </w:r>
      <w:r>
        <w:rPr>
          <w:rFonts w:hint="eastAsia" w:ascii="宋体" w:hAnsi="宋体" w:cs="E-BX"/>
          <w:snapToGrid/>
          <w:color w:val="000000"/>
          <w:szCs w:val="24"/>
        </w:rPr>
        <w:t>。</w:t>
      </w:r>
    </w:p>
    <w:p>
      <w:pPr>
        <w:pStyle w:val="4"/>
        <w:rPr>
          <w:snapToGrid/>
          <w:color w:val="000000"/>
        </w:rPr>
      </w:pPr>
      <w:r>
        <w:rPr>
          <w:snapToGrid/>
          <w:color w:val="000000"/>
        </w:rPr>
        <w:t>9.5.2</w:t>
      </w:r>
      <w:r>
        <w:rPr>
          <w:rFonts w:hint="eastAsia"/>
          <w:snapToGrid/>
          <w:color w:val="000000"/>
        </w:rPr>
        <w:t>动员群众参与</w:t>
      </w:r>
    </w:p>
    <w:p>
      <w:pPr>
        <w:ind w:firstLine="480"/>
        <w:rPr>
          <w:rFonts w:ascii="宋体" w:hAnsi="宋体"/>
          <w:snapToGrid/>
          <w:color w:val="000000"/>
          <w:szCs w:val="24"/>
        </w:rPr>
      </w:pPr>
      <w:r>
        <w:rPr>
          <w:rFonts w:hint="eastAsia" w:ascii="宋体" w:hAnsi="宋体"/>
          <w:snapToGrid/>
          <w:color w:val="000000"/>
          <w:szCs w:val="24"/>
        </w:rPr>
        <w:t>构建群众监督参与机制，积极引导农村集体经济组织、农民、社会组织等各方面广泛参与高标准农田建设工作，形成共同监督、共同参与的良好氛围。明确农民的所有权地位，鼓励农民参与组织中的重大决策，扩大决策主体，强化决策可行性和实用性。注重发挥农民群众的主体作用，激发耕地所有者、农民及新型农业经营主体等参与高标准农田项目规划、建设和管护等方面的积极性、主动性和创造性</w:t>
      </w:r>
      <w:r>
        <w:rPr>
          <w:rFonts w:hint="eastAsia" w:ascii="宋体" w:hAnsi="宋体" w:cs="E-BX"/>
          <w:snapToGrid/>
          <w:color w:val="000000"/>
          <w:szCs w:val="24"/>
        </w:rPr>
        <w:t>。</w:t>
      </w:r>
    </w:p>
    <w:p>
      <w:pPr>
        <w:pStyle w:val="4"/>
        <w:rPr>
          <w:snapToGrid/>
          <w:color w:val="000000"/>
        </w:rPr>
      </w:pPr>
      <w:r>
        <w:rPr>
          <w:snapToGrid/>
          <w:color w:val="000000"/>
        </w:rPr>
        <w:t>9.5.3</w:t>
      </w:r>
      <w:r>
        <w:rPr>
          <w:rFonts w:hint="eastAsia"/>
          <w:snapToGrid/>
          <w:color w:val="000000"/>
        </w:rPr>
        <w:t>做好风险防控</w:t>
      </w:r>
    </w:p>
    <w:p>
      <w:pPr>
        <w:ind w:firstLine="480"/>
        <w:rPr>
          <w:rFonts w:hint="eastAsia" w:ascii="宋体" w:hAnsi="宋体"/>
          <w:snapToGrid/>
          <w:color w:val="000000"/>
          <w:szCs w:val="24"/>
        </w:rPr>
      </w:pPr>
      <w:r>
        <w:rPr>
          <w:rFonts w:hint="eastAsia" w:ascii="宋体" w:hAnsi="宋体"/>
          <w:snapToGrid/>
          <w:color w:val="000000"/>
          <w:szCs w:val="24"/>
        </w:rPr>
        <w:t>加强高标准农田项目廉政建设，强化廉政教育，完善制度机制，推进项目建设公开透明、廉洁高效。依法依规行使项目审批权，把好立项关，建立高标准农田监督机制，加强项目全过程监督检查，切实防范建设项目管理工作风险，确保项目安全、资金安全、队伍安全。定期开展“无禁区、全覆盖、零容忍”排查工作，发现问题严肃处理。</w:t>
      </w:r>
    </w:p>
    <w:p>
      <w:pPr>
        <w:ind w:firstLine="480"/>
        <w:rPr>
          <w:rFonts w:hint="eastAsia" w:ascii="宋体" w:hAnsi="宋体"/>
          <w:snapToGrid/>
          <w:color w:val="000000"/>
          <w:szCs w:val="24"/>
        </w:rPr>
      </w:pPr>
    </w:p>
    <w:p>
      <w:pPr>
        <w:ind w:firstLine="480"/>
        <w:rPr>
          <w:rFonts w:hint="eastAsia" w:ascii="宋体" w:hAnsi="宋体"/>
          <w:snapToGrid/>
          <w:color w:val="000000"/>
          <w:szCs w:val="24"/>
        </w:rPr>
      </w:pPr>
    </w:p>
    <w:bookmarkEnd w:id="102"/>
    <w:p>
      <w:pPr>
        <w:tabs>
          <w:tab w:val="left" w:pos="2160"/>
        </w:tabs>
        <w:ind w:firstLine="0" w:firstLineChars="0"/>
        <w:rPr>
          <w:color w:val="000000"/>
        </w:rPr>
      </w:pPr>
      <w:r>
        <w:rPr>
          <w:color w:val="000000"/>
        </w:rPr>
        <w:tab/>
      </w:r>
    </w:p>
    <w:p/>
    <w:sectPr>
      <w:headerReference r:id="rId15" w:type="default"/>
      <w:footerReference r:id="rId16" w:type="default"/>
      <w:pgSz w:w="11907" w:h="16840"/>
      <w:pgMar w:top="1418" w:right="1418" w:bottom="1418" w:left="1701" w:header="851" w:footer="1077" w:gutter="0"/>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华文楷体">
    <w:altName w:val="宋体"/>
    <w:panose1 w:val="02010600040101010101"/>
    <w:charset w:val="86"/>
    <w:family w:val="auto"/>
    <w:pitch w:val="default"/>
    <w:sig w:usb0="00000000" w:usb1="00000000" w:usb2="00000010" w:usb3="00000000" w:csb0="000400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E-BX">
    <w:altName w:val="微软雅黑"/>
    <w:panose1 w:val="00000000000000000000"/>
    <w:charset w:val="86"/>
    <w:family w:val="auto"/>
    <w:pitch w:val="default"/>
    <w:sig w:usb0="00000000" w:usb1="00000000" w:usb2="00000010" w:usb3="00000000" w:csb0="00040000" w:csb1="00000000"/>
  </w:font>
  <w:font w:name="E-BZ">
    <w:altName w:val="微软雅黑"/>
    <w:panose1 w:val="00000000000000000000"/>
    <w:charset w:val="86"/>
    <w:family w:val="auto"/>
    <w:pitch w:val="default"/>
    <w:sig w:usb0="00000000" w:usb1="00000000" w:usb2="00000010" w:usb3="00000000" w:csb0="00040000" w:csb1="00000000"/>
  </w:font>
  <w:font w:name="FZKTK--GBK1-0">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firstLine="360"/>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6"/>
                      <w:ind w:firstLine="360"/>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firstLine="0" w:firstLineChars="0"/>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6"/>
                      <w:ind w:firstLine="0" w:firstLineChars="0"/>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pPr>
      <w:spacing w:after="160" w:line="259" w:lineRule="auto"/>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firstLine="0" w:firstLineChars="0"/>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6"/>
                      <w:ind w:firstLine="0" w:firstLineChars="0"/>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pPr>
      <w:spacing w:after="160" w:line="259" w:lineRule="auto"/>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rFonts w:hint="eastAsia" w:ascii="宋体" w:hAnsi="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rFonts w:hint="eastAsia" w:ascii="宋体" w:hAnsi="宋体"/>
        <w:sz w:val="21"/>
        <w:szCs w:val="21"/>
      </w:rPr>
    </w:pPr>
    <w:r>
      <w:rPr>
        <w:rFonts w:hint="eastAsia" w:ascii="宋体" w:hAnsi="宋体"/>
        <w:sz w:val="21"/>
        <w:szCs w:val="21"/>
      </w:rPr>
      <w:t>镇赉</w:t>
    </w:r>
    <w:r>
      <w:rPr>
        <w:rFonts w:ascii="宋体" w:hAnsi="宋体"/>
        <w:sz w:val="21"/>
        <w:szCs w:val="21"/>
      </w:rPr>
      <w:t>县2021年-2030年高标准农田建设规划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rFonts w:hint="eastAsia" w:ascii="宋体" w:hAnsi="宋体"/>
        <w:sz w:val="21"/>
        <w:szCs w:val="21"/>
      </w:rPr>
    </w:pPr>
    <w:r>
      <w:rPr>
        <w:rFonts w:hint="eastAsia" w:ascii="宋体" w:hAnsi="宋体"/>
        <w:sz w:val="21"/>
        <w:szCs w:val="21"/>
      </w:rPr>
      <w:t>镇赉</w:t>
    </w:r>
    <w:r>
      <w:rPr>
        <w:rFonts w:ascii="宋体" w:hAnsi="宋体"/>
        <w:sz w:val="21"/>
        <w:szCs w:val="21"/>
      </w:rPr>
      <w:t>县2021年-2030年高标准农田建设规划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TRiNjE1NDFiZWQ2MjIwNGMxNTFjZDQzYjY3ZDEifQ=="/>
  </w:docVars>
  <w:rsids>
    <w:rsidRoot w:val="00000000"/>
    <w:rsid w:val="019B613B"/>
    <w:rsid w:val="084A0F6E"/>
    <w:rsid w:val="094620D8"/>
    <w:rsid w:val="10380549"/>
    <w:rsid w:val="14E81FE1"/>
    <w:rsid w:val="180513B0"/>
    <w:rsid w:val="1A213404"/>
    <w:rsid w:val="398E0DAD"/>
    <w:rsid w:val="39DA3FF3"/>
    <w:rsid w:val="5F043C70"/>
    <w:rsid w:val="62145A44"/>
    <w:rsid w:val="624B51DE"/>
    <w:rsid w:val="63B03648"/>
    <w:rsid w:val="6BD22A87"/>
    <w:rsid w:val="77DB1A96"/>
    <w:rsid w:val="784B52F6"/>
    <w:rsid w:val="7D1B6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snapToGrid w:val="0"/>
      <w:sz w:val="24"/>
      <w:lang w:val="en-US" w:eastAsia="zh-CN" w:bidi="ar-SA"/>
    </w:rPr>
  </w:style>
  <w:style w:type="paragraph" w:styleId="2">
    <w:name w:val="heading 1"/>
    <w:basedOn w:val="1"/>
    <w:next w:val="1"/>
    <w:qFormat/>
    <w:uiPriority w:val="9"/>
    <w:pPr>
      <w:keepNext/>
      <w:keepLines/>
      <w:ind w:firstLine="0" w:firstLineChars="0"/>
      <w:outlineLvl w:val="0"/>
    </w:pPr>
    <w:rPr>
      <w:b/>
      <w:bCs/>
      <w:kern w:val="44"/>
      <w:sz w:val="32"/>
      <w:szCs w:val="44"/>
    </w:rPr>
  </w:style>
  <w:style w:type="paragraph" w:styleId="3">
    <w:name w:val="heading 2"/>
    <w:basedOn w:val="1"/>
    <w:next w:val="1"/>
    <w:qFormat/>
    <w:uiPriority w:val="9"/>
    <w:pPr>
      <w:keepNext/>
      <w:keepLines/>
      <w:ind w:firstLine="0" w:firstLineChars="0"/>
      <w:outlineLvl w:val="1"/>
    </w:pPr>
    <w:rPr>
      <w:b/>
      <w:bCs/>
      <w:sz w:val="30"/>
      <w:szCs w:val="32"/>
    </w:rPr>
  </w:style>
  <w:style w:type="paragraph" w:styleId="4">
    <w:name w:val="heading 3"/>
    <w:basedOn w:val="1"/>
    <w:next w:val="1"/>
    <w:qFormat/>
    <w:uiPriority w:val="9"/>
    <w:pPr>
      <w:keepNext/>
      <w:keepLines/>
      <w:ind w:firstLine="0" w:firstLineChars="0"/>
      <w:outlineLvl w:val="2"/>
    </w:pPr>
    <w:rPr>
      <w:b/>
      <w:bCs/>
      <w:sz w:val="28"/>
      <w:szCs w:val="32"/>
    </w:rPr>
  </w:style>
  <w:style w:type="paragraph" w:styleId="5">
    <w:name w:val="heading 4"/>
    <w:basedOn w:val="1"/>
    <w:next w:val="1"/>
    <w:qFormat/>
    <w:uiPriority w:val="0"/>
    <w:pPr>
      <w:keepNext/>
      <w:keepLines/>
      <w:ind w:firstLine="0" w:firstLineChars="0"/>
      <w:outlineLvl w:val="3"/>
    </w:pPr>
    <w:rPr>
      <w:rFonts w:cs="Times New Roman"/>
      <w:b/>
      <w:bCs/>
      <w:szCs w:val="28"/>
    </w:rPr>
  </w:style>
  <w:style w:type="character" w:default="1" w:styleId="12">
    <w:name w:val="Default Paragraph Font"/>
    <w:semiHidden/>
    <w:qFormat/>
    <w:uiPriority w:val="0"/>
  </w:style>
  <w:style w:type="table" w:default="1" w:styleId="11">
    <w:name w:val="Normal Table"/>
    <w:semiHidden/>
    <w:uiPriority w:val="0"/>
    <w:tblPr>
      <w:tblCellMar>
        <w:top w:w="0" w:type="dxa"/>
        <w:left w:w="108" w:type="dxa"/>
        <w:bottom w:w="0" w:type="dxa"/>
        <w:right w:w="108" w:type="dxa"/>
      </w:tblCellMar>
    </w:tbl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pPr>
      <w:widowControl/>
      <w:tabs>
        <w:tab w:val="right" w:leader="dot" w:pos="8296"/>
      </w:tabs>
      <w:adjustRightInd w:val="0"/>
      <w:snapToGrid w:val="0"/>
      <w:spacing w:after="100" w:line="259" w:lineRule="auto"/>
      <w:jc w:val="left"/>
    </w:pPr>
    <w:rPr>
      <w:rFonts w:ascii="宋体" w:hAnsi="宋体" w:eastAsia="宋体" w:cs="宋体"/>
      <w:b/>
      <w:bCs/>
      <w:kern w:val="0"/>
      <w:sz w:val="32"/>
      <w:szCs w:val="32"/>
    </w:rPr>
  </w:style>
  <w:style w:type="paragraph" w:styleId="9">
    <w:name w:val="toc 2"/>
    <w:basedOn w:val="1"/>
    <w:next w:val="1"/>
    <w:qFormat/>
    <w:uiPriority w:val="39"/>
    <w:pPr>
      <w:ind w:left="420" w:leftChars="200"/>
    </w:pPr>
    <w:rPr>
      <w:rFonts w:ascii="Times New Roman" w:hAnsi="Times New Roman" w:eastAsia="宋体" w:cs="Times New Roman"/>
    </w:rPr>
  </w:style>
  <w:style w:type="paragraph" w:styleId="10">
    <w:name w:val="Title"/>
    <w:basedOn w:val="1"/>
    <w:next w:val="1"/>
    <w:qFormat/>
    <w:uiPriority w:val="0"/>
    <w:pPr>
      <w:spacing w:line="240" w:lineRule="auto"/>
      <w:ind w:firstLine="0" w:firstLineChars="0"/>
      <w:jc w:val="center"/>
    </w:pPr>
    <w:rPr>
      <w:rFonts w:cs="Times New Roman"/>
      <w:bCs/>
      <w:sz w:val="21"/>
      <w:szCs w:val="32"/>
    </w:rPr>
  </w:style>
  <w:style w:type="character" w:styleId="13">
    <w:name w:val="Hyperlink"/>
    <w:uiPriority w:val="99"/>
    <w:rPr>
      <w:rFonts w:ascii="Times New Roman" w:hAnsi="Times New Roman" w:eastAsia="宋体" w:cs="Times New Roman"/>
      <w:color w:val="0000FF"/>
      <w:u w:val="single"/>
    </w:rPr>
  </w:style>
  <w:style w:type="paragraph" w:customStyle="1" w:styleId="14">
    <w:name w:val="4正文4"/>
    <w:basedOn w:val="1"/>
    <w:qFormat/>
    <w:uiPriority w:val="0"/>
    <w:pPr>
      <w:widowControl/>
      <w:suppressAutoHyphens/>
      <w:ind w:firstLine="480"/>
      <w:jc w:val="left"/>
    </w:pPr>
    <w:rPr>
      <w:rFonts w:ascii="宋体" w:hAnsi="宋体" w:cs="宋体"/>
      <w:color w:val="00B050"/>
      <w:kern w:val="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40122</Words>
  <Characters>46207</Characters>
  <Lines>0</Lines>
  <Paragraphs>0</Paragraphs>
  <TotalTime>23</TotalTime>
  <ScaleCrop>false</ScaleCrop>
  <LinksUpToDate>false</LinksUpToDate>
  <CharactersWithSpaces>46874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2023-03-01T08:29:00Z</dcterms:created>
  <dc:creator>Administrator</dc:creator>
  <cp:lastModifiedBy>Administrator</cp:lastModifiedBy>
  <cp:lastPrinted>2023-03-22T06:12:00Z</cp:lastPrinted>
  <dcterms:modified xsi:type="dcterms:W3CDTF">2024-03-26T08:18:56Z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5571CF6636EB4BE5B5EEA7C016EEA6D1_12</vt:lpwstr>
  </property>
</Properties>
</file>