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600" w:lineRule="exact"/>
        <w:jc w:val="center"/>
        <w:textAlignment w:val="baseline"/>
        <w:rPr>
          <w:rFonts w:ascii="方正小标宋_GBK" w:hAnsi="Times New Roman" w:eastAsia="方正小标宋_GBK" w:cs="Arial"/>
          <w:sz w:val="44"/>
          <w:szCs w:val="44"/>
        </w:rPr>
      </w:pPr>
      <w:r>
        <w:rPr>
          <w:rFonts w:ascii="方正小标宋_GBK" w:hAnsi="Times New Roman" w:eastAsia="方正小标宋_GBK" w:cs="Arial"/>
          <w:sz w:val="44"/>
          <w:szCs w:val="44"/>
        </w:rPr>
        <w:t>202</w:t>
      </w:r>
      <w:r>
        <w:rPr>
          <w:rFonts w:hint="eastAsia" w:ascii="方正小标宋_GBK" w:hAnsi="Times New Roman" w:eastAsia="方正小标宋_GBK" w:cs="Arial"/>
          <w:sz w:val="44"/>
          <w:szCs w:val="44"/>
        </w:rPr>
        <w:t>1</w:t>
      </w:r>
      <w:r>
        <w:rPr>
          <w:rFonts w:ascii="方正小标宋_GBK" w:hAnsi="Times New Roman" w:eastAsia="方正小标宋_GBK" w:cs="Arial"/>
          <w:sz w:val="44"/>
          <w:szCs w:val="44"/>
        </w:rPr>
        <w:t>年</w:t>
      </w:r>
      <w:r>
        <w:rPr>
          <w:rFonts w:hint="eastAsia" w:ascii="方正小标宋_GBK" w:hAnsi="Times New Roman" w:eastAsia="方正小标宋_GBK" w:cs="Arial"/>
          <w:sz w:val="44"/>
          <w:szCs w:val="44"/>
          <w:lang w:eastAsia="zh-CN"/>
        </w:rPr>
        <w:t>镇赉县</w:t>
      </w:r>
      <w:r>
        <w:rPr>
          <w:rFonts w:hint="eastAsia" w:ascii="方正小标宋_GBK" w:hAnsi="Times New Roman" w:eastAsia="方正小标宋_GBK" w:cs="Arial"/>
          <w:sz w:val="44"/>
          <w:szCs w:val="44"/>
        </w:rPr>
        <w:t>高质量发展</w:t>
      </w:r>
      <w:r>
        <w:rPr>
          <w:rFonts w:ascii="方正小标宋_GBK" w:hAnsi="Times New Roman" w:eastAsia="方正小标宋_GBK" w:cs="Arial"/>
          <w:sz w:val="44"/>
          <w:szCs w:val="44"/>
        </w:rPr>
        <w:t>专项资金</w:t>
      </w:r>
    </w:p>
    <w:p>
      <w:pPr>
        <w:pStyle w:val="4"/>
        <w:widowControl/>
        <w:spacing w:line="600" w:lineRule="exact"/>
        <w:jc w:val="center"/>
        <w:textAlignment w:val="baseline"/>
        <w:rPr>
          <w:rFonts w:hint="eastAsia" w:ascii="方正小标宋_GBK" w:hAnsi="Times New Roman" w:eastAsia="方正小标宋_GBK" w:cs="Arial"/>
          <w:sz w:val="44"/>
          <w:szCs w:val="44"/>
        </w:rPr>
      </w:pPr>
      <w:r>
        <w:rPr>
          <w:rFonts w:ascii="方正小标宋_GBK" w:hAnsi="Times New Roman" w:eastAsia="方正小标宋_GBK" w:cs="Arial"/>
          <w:sz w:val="44"/>
          <w:szCs w:val="44"/>
        </w:rPr>
        <w:t>因素法</w:t>
      </w:r>
      <w:r>
        <w:rPr>
          <w:rFonts w:hint="eastAsia" w:ascii="方正小标宋_GBK" w:hAnsi="Times New Roman" w:eastAsia="方正小标宋_GBK" w:cs="Arial"/>
          <w:sz w:val="44"/>
          <w:szCs w:val="44"/>
        </w:rPr>
        <w:t>（上半年工业稳增长奖补）</w:t>
      </w:r>
    </w:p>
    <w:p>
      <w:pPr>
        <w:pStyle w:val="4"/>
        <w:widowControl/>
        <w:spacing w:line="600" w:lineRule="exact"/>
        <w:jc w:val="center"/>
        <w:textAlignment w:val="baseline"/>
        <w:rPr>
          <w:rFonts w:ascii="方正小标宋_GBK" w:hAnsi="Times New Roman" w:eastAsia="方正小标宋_GBK" w:cs="Arial"/>
          <w:sz w:val="44"/>
          <w:szCs w:val="44"/>
        </w:rPr>
      </w:pPr>
      <w:r>
        <w:rPr>
          <w:rFonts w:ascii="方正小标宋_GBK" w:hAnsi="Times New Roman" w:eastAsia="方正小标宋_GBK" w:cs="Arial"/>
          <w:sz w:val="44"/>
          <w:szCs w:val="44"/>
        </w:rPr>
        <w:t>分配方案</w:t>
      </w:r>
    </w:p>
    <w:p>
      <w:pPr>
        <w:pStyle w:val="4"/>
        <w:widowControl/>
        <w:ind w:firstLine="640"/>
        <w:rPr>
          <w:rFonts w:ascii="仿宋_GB2312" w:hAnsi="Times New Roman" w:eastAsia="仿宋_GB2312" w:cs="Arial"/>
          <w:sz w:val="32"/>
          <w:szCs w:val="32"/>
        </w:rPr>
      </w:pPr>
    </w:p>
    <w:p>
      <w:pPr>
        <w:pStyle w:val="4"/>
        <w:ind w:firstLine="640" w:firstLineChars="200"/>
        <w:rPr>
          <w:rFonts w:hint="eastAsia" w:ascii="黑体" w:hAnsi="黑体" w:eastAsia="黑体" w:cs="黑体"/>
          <w:sz w:val="32"/>
          <w:szCs w:val="32"/>
        </w:rPr>
      </w:pPr>
      <w:r>
        <w:rPr>
          <w:rFonts w:hint="eastAsia" w:ascii="黑体" w:hAnsi="黑体" w:eastAsia="黑体" w:cs="黑体"/>
          <w:sz w:val="32"/>
          <w:szCs w:val="32"/>
        </w:rPr>
        <w:t>一、支持方向</w:t>
      </w:r>
    </w:p>
    <w:p>
      <w:pPr>
        <w:pStyle w:val="4"/>
        <w:ind w:firstLine="640" w:firstLineChars="200"/>
        <w:rPr>
          <w:rFonts w:hint="eastAsia" w:ascii="仿宋" w:hAnsi="仿宋" w:eastAsia="仿宋"/>
          <w:sz w:val="32"/>
          <w:szCs w:val="32"/>
        </w:rPr>
      </w:pPr>
      <w:r>
        <w:rPr>
          <w:rFonts w:hint="eastAsia" w:ascii="仿宋" w:hAnsi="仿宋" w:eastAsia="仿宋"/>
          <w:sz w:val="32"/>
          <w:szCs w:val="32"/>
        </w:rPr>
        <w:t>鼓励</w:t>
      </w:r>
      <w:r>
        <w:rPr>
          <w:rFonts w:hint="eastAsia" w:ascii="仿宋" w:hAnsi="仿宋" w:eastAsia="仿宋"/>
          <w:sz w:val="32"/>
          <w:szCs w:val="32"/>
          <w:lang w:eastAsia="zh-CN"/>
        </w:rPr>
        <w:t>规上</w:t>
      </w:r>
      <w:r>
        <w:rPr>
          <w:rFonts w:hint="eastAsia" w:ascii="仿宋" w:hAnsi="仿宋" w:eastAsia="仿宋"/>
          <w:sz w:val="32"/>
          <w:szCs w:val="32"/>
        </w:rPr>
        <w:t>工业企业稳产增产，</w:t>
      </w:r>
      <w:r>
        <w:rPr>
          <w:rFonts w:ascii="仿宋" w:hAnsi="仿宋" w:eastAsia="仿宋"/>
          <w:sz w:val="32"/>
          <w:szCs w:val="32"/>
        </w:rPr>
        <w:t>确保</w:t>
      </w:r>
      <w:r>
        <w:rPr>
          <w:rFonts w:hint="eastAsia" w:ascii="仿宋" w:hAnsi="仿宋" w:eastAsia="仿宋"/>
          <w:sz w:val="32"/>
          <w:szCs w:val="32"/>
        </w:rPr>
        <w:t>规上工业经济持续较快增长</w:t>
      </w:r>
      <w:r>
        <w:rPr>
          <w:rFonts w:ascii="仿宋" w:hAnsi="仿宋" w:eastAsia="仿宋"/>
          <w:sz w:val="32"/>
          <w:szCs w:val="32"/>
        </w:rPr>
        <w:t>，</w:t>
      </w:r>
      <w:r>
        <w:rPr>
          <w:rFonts w:hint="eastAsia" w:ascii="仿宋" w:hAnsi="仿宋" w:eastAsia="仿宋"/>
          <w:sz w:val="32"/>
          <w:szCs w:val="32"/>
        </w:rPr>
        <w:t>对强化生产组织提高生产负荷并对全县工业稳增长做出突出贡献的企业给予资金奖补。</w:t>
      </w:r>
    </w:p>
    <w:p>
      <w:pPr>
        <w:pStyle w:val="4"/>
        <w:ind w:firstLine="640" w:firstLineChars="200"/>
        <w:rPr>
          <w:rFonts w:hint="eastAsia" w:ascii="黑体" w:hAnsi="黑体" w:eastAsia="黑体" w:cs="黑体"/>
          <w:sz w:val="32"/>
          <w:szCs w:val="32"/>
        </w:rPr>
      </w:pPr>
      <w:r>
        <w:rPr>
          <w:rFonts w:hint="eastAsia" w:ascii="黑体" w:hAnsi="黑体" w:eastAsia="黑体" w:cs="黑体"/>
          <w:sz w:val="32"/>
          <w:szCs w:val="32"/>
        </w:rPr>
        <w:t>二、资金分配</w:t>
      </w:r>
    </w:p>
    <w:p>
      <w:pPr>
        <w:pStyle w:val="4"/>
        <w:spacing w:line="60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因本次申报企业中仅有一户企业符合支持范围及申报条件，所以</w:t>
      </w:r>
      <w:r>
        <w:rPr>
          <w:rFonts w:hint="eastAsia" w:ascii="仿宋" w:hAnsi="仿宋" w:eastAsia="仿宋" w:cs="仿宋"/>
          <w:sz w:val="32"/>
          <w:szCs w:val="32"/>
          <w:lang w:val="en-US" w:eastAsia="zh-CN"/>
        </w:rPr>
        <w:t>2021年工业和信息化高质量发展因素法</w:t>
      </w:r>
      <w:r>
        <w:rPr>
          <w:rFonts w:hint="eastAsia" w:ascii="仿宋" w:hAnsi="仿宋" w:eastAsia="仿宋" w:cs="仿宋"/>
          <w:sz w:val="32"/>
          <w:szCs w:val="32"/>
          <w:lang w:eastAsia="zh-CN"/>
        </w:rPr>
        <w:t>专项资金分配给我县的</w:t>
      </w:r>
      <w:r>
        <w:rPr>
          <w:rFonts w:hint="eastAsia" w:ascii="仿宋" w:hAnsi="仿宋" w:eastAsia="仿宋" w:cs="仿宋"/>
          <w:sz w:val="32"/>
          <w:szCs w:val="32"/>
          <w:lang w:val="en-US" w:eastAsia="zh-CN"/>
        </w:rPr>
        <w:t>3万元全部分配给镇赉县昆仑宏安燃气有限公司。</w:t>
      </w:r>
    </w:p>
    <w:p>
      <w:pPr>
        <w:pStyle w:val="4"/>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三、确保资金安全运行</w:t>
      </w:r>
    </w:p>
    <w:p>
      <w:pPr>
        <w:pStyle w:val="4"/>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主管部门要加强资金使用情况监管，对企业提供虚假资料、虚报冒领奖补资金的，一经发现，要及时追回奖补资金，并追究相关责任。</w:t>
      </w:r>
    </w:p>
    <w:p>
      <w:pPr>
        <w:pStyle w:val="5"/>
      </w:pPr>
    </w:p>
    <w:p>
      <w:pPr>
        <w:pStyle w:val="5"/>
      </w:pPr>
    </w:p>
    <w:p>
      <w:pPr>
        <w:pStyle w:val="5"/>
      </w:pPr>
    </w:p>
    <w:p>
      <w:pPr>
        <w:pStyle w:val="5"/>
      </w:pPr>
      <w:bookmarkStart w:id="0" w:name="_GoBack"/>
      <w:bookmarkEnd w:id="0"/>
    </w:p>
    <w:p>
      <w:pPr>
        <w:pStyle w:val="5"/>
        <w:jc w:val="right"/>
        <w:rPr>
          <w:rFonts w:hint="eastAsia" w:ascii="仿宋" w:hAnsi="仿宋" w:eastAsia="仿宋" w:cs="仿宋"/>
          <w:sz w:val="32"/>
          <w:szCs w:val="32"/>
        </w:rPr>
      </w:pPr>
    </w:p>
    <w:p>
      <w:pPr>
        <w:pStyle w:val="5"/>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镇赉县工业和信息化局</w:t>
      </w:r>
    </w:p>
    <w:p>
      <w:pPr>
        <w:pStyle w:val="5"/>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518A2"/>
    <w:rsid w:val="209518A2"/>
    <w:rsid w:val="308C6991"/>
    <w:rsid w:val="3897677D"/>
    <w:rsid w:val="3A31120D"/>
    <w:rsid w:val="5380632D"/>
    <w:rsid w:val="57FD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正文文本 New"/>
    <w:basedOn w:val="4"/>
    <w:qFormat/>
    <w:uiPriority w:val="0"/>
    <w:rPr>
      <w:rFonts w:ascii="Times New Roman" w:hAnsi="Times New Roman" w:cs="Times New Roman"/>
      <w:kern w:val="0"/>
      <w:sz w:val="18"/>
      <w:szCs w:val="20"/>
    </w:rPr>
  </w:style>
  <w:style w:type="paragraph" w:customStyle="1" w:styleId="6">
    <w:name w:val="BodyText1I2"/>
    <w:next w:val="4"/>
    <w:qFormat/>
    <w:uiPriority w:val="0"/>
    <w:pPr>
      <w:widowControl w:val="0"/>
      <w:ind w:firstLine="960"/>
      <w:jc w:val="both"/>
      <w:textAlignment w:val="baseline"/>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2021-12-28T05:47:00Z</dcterms:created>
  <dc:creator>某人</dc:creator>
  <cp:lastModifiedBy>某人</cp:lastModifiedBy>
  <cp:lastPrinted>2021-12-29T08:34:22Z</cp:lastPrinted>
  <dcterms:modified xsi:type="dcterms:W3CDTF">2021-12-29T08:38:43Z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F77D805E084648C9ADCCFE29B5502B87</vt:lpwstr>
  </property>
</Properties>
</file>