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53" w:rsidRPr="00C83A5F" w:rsidRDefault="00C55C42" w:rsidP="001E3CF8">
      <w:pPr>
        <w:spacing w:line="0" w:lineRule="atLeast"/>
        <w:jc w:val="center"/>
        <w:rPr>
          <w:rFonts w:ascii="方正小标宋_GBK" w:eastAsia="方正小标宋_GBK" w:hAnsiTheme="minorEastAsia"/>
          <w:sz w:val="44"/>
          <w:szCs w:val="44"/>
        </w:rPr>
      </w:pPr>
      <w:r w:rsidRPr="00C83A5F">
        <w:rPr>
          <w:rFonts w:ascii="方正小标宋_GBK" w:eastAsia="方正小标宋_GBK" w:hAnsiTheme="minorEastAsia" w:hint="eastAsia"/>
          <w:sz w:val="44"/>
          <w:szCs w:val="44"/>
        </w:rPr>
        <w:t>“镇赉好物”区域</w:t>
      </w:r>
      <w:r w:rsidR="00FB5F06">
        <w:rPr>
          <w:rFonts w:ascii="方正小标宋_GBK" w:eastAsia="方正小标宋_GBK" w:hAnsiTheme="minorEastAsia" w:hint="eastAsia"/>
          <w:sz w:val="44"/>
          <w:szCs w:val="44"/>
        </w:rPr>
        <w:t>公共</w:t>
      </w:r>
      <w:r w:rsidRPr="00C83A5F">
        <w:rPr>
          <w:rFonts w:ascii="方正小标宋_GBK" w:eastAsia="方正小标宋_GBK" w:hAnsiTheme="minorEastAsia" w:hint="eastAsia"/>
          <w:sz w:val="44"/>
          <w:szCs w:val="44"/>
        </w:rPr>
        <w:t>品牌</w:t>
      </w:r>
      <w:r w:rsidR="001E3CF8">
        <w:rPr>
          <w:rFonts w:ascii="方正小标宋_GBK" w:eastAsia="方正小标宋_GBK" w:hAnsiTheme="minorEastAsia" w:hint="eastAsia"/>
          <w:sz w:val="44"/>
          <w:szCs w:val="44"/>
        </w:rPr>
        <w:t>标识</w:t>
      </w:r>
      <w:r w:rsidRPr="00C83A5F">
        <w:rPr>
          <w:rFonts w:ascii="方正小标宋_GBK" w:eastAsia="方正小标宋_GBK" w:hAnsiTheme="minorEastAsia" w:hint="eastAsia"/>
          <w:sz w:val="44"/>
          <w:szCs w:val="44"/>
        </w:rPr>
        <w:t>使用</w:t>
      </w:r>
      <w:r w:rsidR="001E3CF8">
        <w:rPr>
          <w:rFonts w:ascii="方正小标宋_GBK" w:eastAsia="方正小标宋_GBK" w:hAnsiTheme="minorEastAsia" w:hint="eastAsia"/>
          <w:sz w:val="44"/>
          <w:szCs w:val="44"/>
        </w:rPr>
        <w:t xml:space="preserve">     </w:t>
      </w:r>
      <w:r w:rsidRPr="00C83A5F">
        <w:rPr>
          <w:rFonts w:ascii="方正小标宋_GBK" w:eastAsia="方正小标宋_GBK" w:hAnsiTheme="minorEastAsia" w:hint="eastAsia"/>
          <w:sz w:val="44"/>
          <w:szCs w:val="44"/>
        </w:rPr>
        <w:t>管理办法</w:t>
      </w:r>
      <w:r w:rsidR="00B94DE2">
        <w:rPr>
          <w:rFonts w:ascii="方正小标宋_GBK" w:eastAsia="方正小标宋_GBK" w:hAnsiTheme="minorEastAsia" w:hint="eastAsia"/>
          <w:sz w:val="44"/>
          <w:szCs w:val="44"/>
        </w:rPr>
        <w:t>(征求意见稿)</w:t>
      </w:r>
    </w:p>
    <w:p w:rsidR="009E4C53" w:rsidRPr="00C83A5F" w:rsidRDefault="00C55C42" w:rsidP="001E3CF8">
      <w:pPr>
        <w:spacing w:line="360" w:lineRule="auto"/>
        <w:rPr>
          <w:rFonts w:ascii="黑体" w:eastAsia="黑体" w:hAnsi="黑体"/>
          <w:sz w:val="32"/>
          <w:szCs w:val="32"/>
        </w:rPr>
      </w:pPr>
      <w:r w:rsidRPr="00C83A5F">
        <w:rPr>
          <w:rFonts w:ascii="黑体" w:eastAsia="黑体" w:hAnsi="黑体" w:hint="eastAsia"/>
          <w:sz w:val="32"/>
          <w:szCs w:val="32"/>
        </w:rPr>
        <w:t>第一章  总则</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 xml:space="preserve">第一条 </w:t>
      </w:r>
      <w:r w:rsidRPr="00C83A5F">
        <w:rPr>
          <w:rFonts w:ascii="方正仿宋_GBK" w:eastAsia="方正仿宋_GBK" w:hAnsiTheme="minorEastAsia" w:hint="eastAsia"/>
          <w:sz w:val="32"/>
          <w:szCs w:val="32"/>
        </w:rPr>
        <w:t>为推进“镇赉好物”区域</w:t>
      </w:r>
      <w:r w:rsidR="0092439F">
        <w:rPr>
          <w:rFonts w:ascii="方正仿宋_GBK" w:eastAsia="方正仿宋_GBK" w:hAnsiTheme="minorEastAsia" w:hint="eastAsia"/>
          <w:sz w:val="32"/>
          <w:szCs w:val="32"/>
        </w:rPr>
        <w:t>公共</w:t>
      </w:r>
      <w:r w:rsidRPr="00C83A5F">
        <w:rPr>
          <w:rFonts w:ascii="方正仿宋_GBK" w:eastAsia="方正仿宋_GBK" w:hAnsiTheme="minorEastAsia" w:hint="eastAsia"/>
          <w:sz w:val="32"/>
          <w:szCs w:val="32"/>
        </w:rPr>
        <w:t xml:space="preserve">品牌（以下简称“镇赉好物”）的监督管理工作，提升品牌声誉和知名度，规范“镇赉好物”品牌使用管理，确保产品安全，保护经营者、消费者和生产者的合法权益，依据《中华人民共和国商标法》《集体商标、证明商标注册和管理办法》等法律法规及规章制度，特制订本办法。 </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第二条</w:t>
      </w:r>
      <w:r w:rsidRPr="00C83A5F">
        <w:rPr>
          <w:rFonts w:ascii="方正仿宋_GBK" w:eastAsia="方正仿宋_GBK" w:hAnsiTheme="minorEastAsia" w:hint="eastAsia"/>
          <w:sz w:val="32"/>
          <w:szCs w:val="32"/>
        </w:rPr>
        <w:t xml:space="preserve"> “镇赉好物”是国家知识产权局商标局核准注册的</w:t>
      </w:r>
      <w:r w:rsidR="0092439F">
        <w:rPr>
          <w:rFonts w:ascii="方正仿宋_GBK" w:eastAsia="方正仿宋_GBK" w:hAnsiTheme="minorEastAsia" w:hint="eastAsia"/>
          <w:sz w:val="32"/>
          <w:szCs w:val="32"/>
        </w:rPr>
        <w:t>区域公共</w:t>
      </w:r>
      <w:r w:rsidR="00E83D4C">
        <w:rPr>
          <w:rFonts w:ascii="方正仿宋_GBK" w:eastAsia="方正仿宋_GBK" w:hAnsiTheme="minorEastAsia" w:hint="eastAsia"/>
          <w:sz w:val="32"/>
          <w:szCs w:val="32"/>
        </w:rPr>
        <w:t>品牌标识</w:t>
      </w:r>
      <w:r w:rsidRPr="00C83A5F">
        <w:rPr>
          <w:rFonts w:ascii="方正仿宋_GBK" w:eastAsia="方正仿宋_GBK" w:hAnsiTheme="minorEastAsia" w:hint="eastAsia"/>
          <w:sz w:val="32"/>
          <w:szCs w:val="32"/>
        </w:rPr>
        <w:t>，由镇赉县商务局监管，</w:t>
      </w:r>
      <w:r w:rsidR="00D83C23">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 xml:space="preserve">持有者负责日常运营。 </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第三条</w:t>
      </w:r>
      <w:r w:rsidRPr="00C83A5F">
        <w:rPr>
          <w:rFonts w:ascii="方正仿宋_GBK" w:eastAsia="方正仿宋_GBK" w:hAnsiTheme="minorEastAsia" w:hint="eastAsia"/>
          <w:sz w:val="32"/>
          <w:szCs w:val="32"/>
        </w:rPr>
        <w:t xml:space="preserve"> “镇赉好物”区域</w:t>
      </w:r>
      <w:r w:rsidR="0092439F">
        <w:rPr>
          <w:rFonts w:ascii="方正仿宋_GBK" w:eastAsia="方正仿宋_GBK" w:hAnsiTheme="minorEastAsia" w:hint="eastAsia"/>
          <w:sz w:val="32"/>
          <w:szCs w:val="32"/>
        </w:rPr>
        <w:t>公共</w:t>
      </w:r>
      <w:r w:rsidRPr="00C83A5F">
        <w:rPr>
          <w:rFonts w:ascii="方正仿宋_GBK" w:eastAsia="方正仿宋_GBK" w:hAnsiTheme="minorEastAsia" w:hint="eastAsia"/>
          <w:sz w:val="32"/>
          <w:szCs w:val="32"/>
        </w:rPr>
        <w:t>品牌是以集体商标注册的多品类农特产品区域</w:t>
      </w:r>
      <w:r w:rsidR="0092439F">
        <w:rPr>
          <w:rFonts w:ascii="方正仿宋_GBK" w:eastAsia="方正仿宋_GBK" w:hAnsiTheme="minorEastAsia" w:hint="eastAsia"/>
          <w:sz w:val="32"/>
          <w:szCs w:val="32"/>
        </w:rPr>
        <w:t>公共</w:t>
      </w:r>
      <w:r w:rsidRPr="00C83A5F">
        <w:rPr>
          <w:rFonts w:ascii="方正仿宋_GBK" w:eastAsia="方正仿宋_GBK" w:hAnsiTheme="minorEastAsia" w:hint="eastAsia"/>
          <w:sz w:val="32"/>
          <w:szCs w:val="32"/>
        </w:rPr>
        <w:t>品牌。其品牌管理，不仅包括商标持有者对其作为集体商标的使用管理，更包括镇赉县委、县政府对其作为区域</w:t>
      </w:r>
      <w:r w:rsidR="0092439F">
        <w:rPr>
          <w:rFonts w:ascii="方正仿宋_GBK" w:eastAsia="方正仿宋_GBK" w:hAnsiTheme="minorEastAsia" w:hint="eastAsia"/>
          <w:sz w:val="32"/>
          <w:szCs w:val="32"/>
        </w:rPr>
        <w:t>公共</w:t>
      </w:r>
      <w:r w:rsidRPr="00C83A5F">
        <w:rPr>
          <w:rFonts w:ascii="方正仿宋_GBK" w:eastAsia="方正仿宋_GBK" w:hAnsiTheme="minorEastAsia" w:hint="eastAsia"/>
          <w:sz w:val="32"/>
          <w:szCs w:val="32"/>
        </w:rPr>
        <w:t>品牌的统筹规划与高位推动，是在镇赉县委、县政府和品牌运营单位主导下实现的共同品牌建设。</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凡是在镇赉县区域内，依法取得工商登记注册的农特产品销售企业、销售型农特产品专业合作社等经营单位或组织，产品符合“镇赉好物”品牌标准的、市场占有率和品牌知名度居行业前列，具有较强竞争力的，经</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持有者审核通过，</w:t>
      </w:r>
      <w:r w:rsidRPr="00C83A5F">
        <w:rPr>
          <w:rFonts w:ascii="方正仿宋_GBK" w:eastAsia="方正仿宋_GBK" w:hAnsiTheme="minorEastAsia" w:hint="eastAsia"/>
          <w:sz w:val="32"/>
          <w:szCs w:val="32"/>
        </w:rPr>
        <w:lastRenderedPageBreak/>
        <w:t>社会公示无异议后，方能使用“镇赉好物”</w:t>
      </w:r>
      <w:r w:rsidR="0092439F">
        <w:rPr>
          <w:rFonts w:ascii="方正仿宋_GBK" w:eastAsia="方正仿宋_GBK" w:hAnsiTheme="minorEastAsia" w:hint="eastAsia"/>
          <w:sz w:val="32"/>
          <w:szCs w:val="32"/>
        </w:rPr>
        <w:t>区域公用</w:t>
      </w:r>
      <w:r w:rsidRPr="00C83A5F">
        <w:rPr>
          <w:rFonts w:ascii="方正仿宋_GBK" w:eastAsia="方正仿宋_GBK" w:hAnsiTheme="minorEastAsia" w:hint="eastAsia"/>
          <w:sz w:val="32"/>
          <w:szCs w:val="32"/>
        </w:rPr>
        <w:t>品牌</w:t>
      </w:r>
      <w:r w:rsidR="00E83D4C">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w:t>
      </w:r>
    </w:p>
    <w:p w:rsid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第四条</w:t>
      </w:r>
      <w:r w:rsidRPr="00C83A5F">
        <w:rPr>
          <w:rFonts w:ascii="方正仿宋_GBK" w:eastAsia="方正仿宋_GBK" w:hAnsiTheme="minorEastAsia" w:hint="eastAsia"/>
          <w:sz w:val="32"/>
          <w:szCs w:val="32"/>
        </w:rPr>
        <w:t xml:space="preserve"> “镇赉好物”品牌标识主要包括：“镇赉好物”集体商标品牌名称及图形商标。</w:t>
      </w:r>
    </w:p>
    <w:p w:rsidR="009E4C53" w:rsidRPr="00C83A5F" w:rsidRDefault="00C83A5F" w:rsidP="00C83A5F">
      <w:pPr>
        <w:spacing w:line="360" w:lineRule="auto"/>
        <w:rPr>
          <w:rFonts w:ascii="黑体" w:eastAsia="黑体" w:hAnsi="黑体"/>
          <w:sz w:val="32"/>
          <w:szCs w:val="32"/>
        </w:rPr>
      </w:pPr>
      <w:r w:rsidRPr="00C83A5F">
        <w:rPr>
          <w:rFonts w:ascii="黑体" w:eastAsia="黑体" w:hAnsi="黑体" w:hint="eastAsia"/>
          <w:sz w:val="32"/>
          <w:szCs w:val="32"/>
        </w:rPr>
        <w:t xml:space="preserve">第二章  </w:t>
      </w:r>
      <w:r w:rsidR="00C55C42" w:rsidRPr="00C83A5F">
        <w:rPr>
          <w:rFonts w:ascii="黑体" w:eastAsia="黑体" w:hAnsi="黑体" w:hint="eastAsia"/>
          <w:sz w:val="32"/>
          <w:szCs w:val="32"/>
        </w:rPr>
        <w:t>组织管理</w:t>
      </w:r>
    </w:p>
    <w:p w:rsidR="009E4C53" w:rsidRPr="00E83D4C" w:rsidRDefault="0092439F" w:rsidP="00E83D4C">
      <w:pPr>
        <w:numPr>
          <w:ilvl w:val="0"/>
          <w:numId w:val="2"/>
        </w:numPr>
        <w:spacing w:line="360" w:lineRule="auto"/>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标识</w:t>
      </w:r>
      <w:r w:rsidR="00C55C42" w:rsidRPr="00C83A5F">
        <w:rPr>
          <w:rFonts w:ascii="方正仿宋_GBK" w:eastAsia="方正仿宋_GBK" w:hAnsiTheme="minorEastAsia" w:hint="eastAsia"/>
          <w:sz w:val="32"/>
          <w:szCs w:val="32"/>
        </w:rPr>
        <w:t>持有者负责组织区域公共品牌的评选、认定、公示、发布等工作，并推进区域公共品牌的培育、宣传工作。县商务局对评选认定工作进行监督管理。</w:t>
      </w:r>
    </w:p>
    <w:p w:rsidR="009E4C53" w:rsidRPr="00C83A5F" w:rsidRDefault="00C55C42" w:rsidP="00C83A5F">
      <w:pPr>
        <w:pStyle w:val="-1"/>
        <w:ind w:firstLine="643"/>
        <w:rPr>
          <w:rFonts w:ascii="方正仿宋_GBK" w:eastAsia="方正仿宋_GBK" w:hAnsiTheme="minorEastAsia" w:cstheme="minorBidi"/>
          <w:sz w:val="32"/>
          <w:szCs w:val="32"/>
        </w:rPr>
      </w:pPr>
      <w:r w:rsidRPr="00C83A5F">
        <w:rPr>
          <w:rFonts w:ascii="方正仿宋_GBK" w:eastAsia="方正仿宋_GBK" w:hAnsiTheme="minorEastAsia" w:cstheme="minorBidi" w:hint="eastAsia"/>
          <w:b/>
          <w:bCs/>
          <w:sz w:val="32"/>
          <w:szCs w:val="32"/>
        </w:rPr>
        <w:t>第六条</w:t>
      </w:r>
      <w:r w:rsidRPr="00C83A5F">
        <w:rPr>
          <w:rFonts w:ascii="方正仿宋_GBK" w:eastAsia="方正仿宋_GBK" w:hAnsiTheme="minorEastAsia" w:cstheme="minorBidi" w:hint="eastAsia"/>
          <w:sz w:val="32"/>
          <w:szCs w:val="32"/>
        </w:rPr>
        <w:t xml:space="preserve"> </w:t>
      </w:r>
      <w:r w:rsidR="00E83D4C">
        <w:rPr>
          <w:rFonts w:ascii="方正仿宋_GBK" w:eastAsia="方正仿宋_GBK" w:hAnsiTheme="minorEastAsia" w:cstheme="minorBidi" w:hint="eastAsia"/>
          <w:sz w:val="32"/>
          <w:szCs w:val="32"/>
        </w:rPr>
        <w:t>使用</w:t>
      </w:r>
      <w:r w:rsidRPr="00C83A5F">
        <w:rPr>
          <w:rFonts w:ascii="方正仿宋_GBK" w:eastAsia="方正仿宋_GBK" w:hAnsiTheme="minorEastAsia" w:cstheme="minorBidi" w:hint="eastAsia"/>
          <w:sz w:val="32"/>
          <w:szCs w:val="32"/>
        </w:rPr>
        <w:t>“镇赉好物”</w:t>
      </w:r>
      <w:r w:rsidR="00E83D4C" w:rsidRPr="00E83D4C">
        <w:rPr>
          <w:rFonts w:ascii="方正仿宋_GBK" w:eastAsia="方正仿宋_GBK" w:hAnsiTheme="minorEastAsia" w:hint="eastAsia"/>
          <w:sz w:val="32"/>
          <w:szCs w:val="32"/>
        </w:rPr>
        <w:t xml:space="preserve"> </w:t>
      </w:r>
      <w:r w:rsidR="00E83D4C" w:rsidRPr="00C83A5F">
        <w:rPr>
          <w:rFonts w:ascii="方正仿宋_GBK" w:eastAsia="方正仿宋_GBK" w:hAnsiTheme="minorEastAsia" w:hint="eastAsia"/>
          <w:sz w:val="32"/>
          <w:szCs w:val="32"/>
        </w:rPr>
        <w:t>品牌标识</w:t>
      </w:r>
      <w:r w:rsidRPr="00C83A5F">
        <w:rPr>
          <w:rFonts w:ascii="方正仿宋_GBK" w:eastAsia="方正仿宋_GBK" w:hAnsiTheme="minorEastAsia" w:cstheme="minorBidi" w:hint="eastAsia"/>
          <w:sz w:val="32"/>
          <w:szCs w:val="32"/>
        </w:rPr>
        <w:t>的产品质量由</w:t>
      </w:r>
      <w:r w:rsidR="0092439F">
        <w:rPr>
          <w:rFonts w:ascii="方正仿宋_GBK" w:eastAsia="方正仿宋_GBK" w:hAnsiTheme="minorEastAsia" w:cstheme="minorBidi" w:hint="eastAsia"/>
          <w:sz w:val="32"/>
          <w:szCs w:val="32"/>
        </w:rPr>
        <w:t>标识</w:t>
      </w:r>
      <w:r w:rsidRPr="00C83A5F">
        <w:rPr>
          <w:rFonts w:ascii="方正仿宋_GBK" w:eastAsia="方正仿宋_GBK" w:hAnsiTheme="minorEastAsia" w:cstheme="minorBidi" w:hint="eastAsia"/>
          <w:sz w:val="32"/>
          <w:szCs w:val="32"/>
        </w:rPr>
        <w:t>持有者牵头，市场监督管理局、商务局、卫</w:t>
      </w:r>
      <w:r w:rsidR="000542D0">
        <w:rPr>
          <w:rFonts w:ascii="方正仿宋_GBK" w:eastAsia="方正仿宋_GBK" w:hAnsiTheme="minorEastAsia" w:cstheme="minorBidi" w:hint="eastAsia"/>
          <w:sz w:val="32"/>
          <w:szCs w:val="32"/>
        </w:rPr>
        <w:t>健</w:t>
      </w:r>
      <w:r w:rsidRPr="00C83A5F">
        <w:rPr>
          <w:rFonts w:ascii="方正仿宋_GBK" w:eastAsia="方正仿宋_GBK" w:hAnsiTheme="minorEastAsia" w:cstheme="minorBidi" w:hint="eastAsia"/>
          <w:sz w:val="32"/>
          <w:szCs w:val="32"/>
        </w:rPr>
        <w:t xml:space="preserve">局、农业农村局等部门监督和指导。 </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bCs/>
          <w:sz w:val="32"/>
          <w:szCs w:val="32"/>
        </w:rPr>
        <w:t>第七条</w:t>
      </w:r>
      <w:r w:rsidRPr="00C83A5F">
        <w:rPr>
          <w:rFonts w:ascii="方正仿宋_GBK" w:eastAsia="方正仿宋_GBK" w:hAnsiTheme="minorEastAsia" w:hint="eastAsia"/>
          <w:sz w:val="32"/>
          <w:szCs w:val="32"/>
          <w:lang w:eastAsia="ko-KR"/>
        </w:rPr>
        <w:t xml:space="preserve"> </w:t>
      </w:r>
      <w:r w:rsidR="0092439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负责审核本行政区域内申请单位的申报、推荐工作，加强辖区内区域公共品牌培育打造和宣传推介。商务局负责指导做好区域公共品牌监督管理工作，做到区域公共品牌共建共享，良性推广使用。各使用单位在计划使用培育区域公共品牌前，须经</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持有者和县商务局备案同意后，按照规定程序开展培育建设使用工作。</w:t>
      </w:r>
    </w:p>
    <w:p w:rsidR="009E4C53" w:rsidRPr="00C83A5F" w:rsidRDefault="00C55C42" w:rsidP="00C83A5F">
      <w:pPr>
        <w:spacing w:line="360" w:lineRule="auto"/>
        <w:ind w:firstLineChars="200" w:firstLine="643"/>
        <w:rPr>
          <w:rFonts w:ascii="方正仿宋_GBK" w:eastAsia="方正仿宋_GBK"/>
          <w:sz w:val="32"/>
          <w:szCs w:val="32"/>
        </w:rPr>
      </w:pPr>
      <w:r w:rsidRPr="00C83A5F">
        <w:rPr>
          <w:rFonts w:ascii="方正仿宋_GBK" w:eastAsia="方正仿宋_GBK" w:hAnsiTheme="minorEastAsia" w:hint="eastAsia"/>
          <w:b/>
          <w:bCs/>
          <w:sz w:val="32"/>
          <w:szCs w:val="32"/>
        </w:rPr>
        <w:t>第八条</w:t>
      </w:r>
      <w:r w:rsidRPr="00C83A5F">
        <w:rPr>
          <w:rFonts w:ascii="方正仿宋_GBK" w:eastAsia="方正仿宋_GBK" w:hAnsiTheme="minorEastAsia" w:hint="eastAsia"/>
          <w:sz w:val="32"/>
          <w:szCs w:val="32"/>
          <w:lang w:eastAsia="ko-KR"/>
        </w:rPr>
        <w:t xml:space="preserve"> </w:t>
      </w:r>
      <w:r w:rsidRPr="00C83A5F">
        <w:rPr>
          <w:rFonts w:ascii="方正仿宋_GBK" w:eastAsia="方正仿宋_GBK" w:hAnsiTheme="minorEastAsia" w:hint="eastAsia"/>
          <w:sz w:val="32"/>
          <w:szCs w:val="32"/>
        </w:rPr>
        <w:t>登记证书持有人或者法定代表人发生变化的，持有人应当按照规定程序提出变更申请。</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bCs/>
          <w:sz w:val="32"/>
          <w:szCs w:val="32"/>
        </w:rPr>
        <w:t>第九条</w:t>
      </w:r>
      <w:r w:rsidRPr="00C83A5F">
        <w:rPr>
          <w:rFonts w:ascii="方正仿宋_GBK" w:eastAsia="方正仿宋_GBK" w:hAnsiTheme="minorEastAsia" w:hint="eastAsia"/>
          <w:sz w:val="32"/>
          <w:szCs w:val="32"/>
        </w:rPr>
        <w:t xml:space="preserve"> 区域公共品牌使用主体有下列情形之一的，撤销其资格，情形严重者，按规定移交相关部门处理：</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1.因产品自身质量引发重大事件，生产经营出现重大问</w:t>
      </w:r>
      <w:r w:rsidRPr="00C83A5F">
        <w:rPr>
          <w:rFonts w:ascii="方正仿宋_GBK" w:eastAsia="方正仿宋_GBK" w:hAnsiTheme="minorEastAsia" w:hint="eastAsia"/>
          <w:sz w:val="32"/>
          <w:szCs w:val="32"/>
        </w:rPr>
        <w:lastRenderedPageBreak/>
        <w:t>题的。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2.有以次充好、不按要求管理等弄虚作假行为的。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3.转让、买卖、出租区域公共品牌证书或扩大使用范围的。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4.产品质量不达标，消费者反映强烈并造成不良影响和后果的。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5.发生安全事故或食品质量安全抽检不合格的。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6.不服从区域公共品牌使用管理的，具有蓄意抹黑品牌形象的行为。</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7.有违反相关法律法规行为的。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8.生产经营者倒卖“镇赉好物”品牌专用商标包装的；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9.其他违反许可使用合同，侵犯品牌持有者合法权益行为的。</w:t>
      </w:r>
    </w:p>
    <w:p w:rsidR="009E4C53" w:rsidRPr="00C83A5F" w:rsidRDefault="00C55C42">
      <w:pPr>
        <w:spacing w:line="360" w:lineRule="auto"/>
        <w:rPr>
          <w:rFonts w:ascii="黑体" w:eastAsia="黑体" w:hAnsi="黑体"/>
          <w:sz w:val="32"/>
          <w:szCs w:val="32"/>
        </w:rPr>
      </w:pPr>
      <w:r w:rsidRPr="00C83A5F">
        <w:rPr>
          <w:rFonts w:ascii="黑体" w:eastAsia="黑体" w:hAnsi="黑体" w:hint="eastAsia"/>
          <w:sz w:val="32"/>
          <w:szCs w:val="32"/>
        </w:rPr>
        <w:t>第三章 “镇赉好物”</w:t>
      </w:r>
      <w:r w:rsidR="0092439F">
        <w:rPr>
          <w:rFonts w:ascii="黑体" w:eastAsia="黑体" w:hAnsi="黑体" w:hint="eastAsia"/>
          <w:sz w:val="32"/>
          <w:szCs w:val="32"/>
        </w:rPr>
        <w:t>标识</w:t>
      </w:r>
      <w:r w:rsidRPr="00C83A5F">
        <w:rPr>
          <w:rFonts w:ascii="黑体" w:eastAsia="黑体" w:hAnsi="黑体" w:hint="eastAsia"/>
          <w:sz w:val="32"/>
          <w:szCs w:val="32"/>
        </w:rPr>
        <w:t>的使用条件</w:t>
      </w:r>
    </w:p>
    <w:p w:rsidR="009E4C53" w:rsidRPr="00C83A5F" w:rsidRDefault="00C55C42" w:rsidP="00C83A5F">
      <w:pPr>
        <w:spacing w:line="360" w:lineRule="auto"/>
        <w:ind w:firstLineChars="200" w:firstLine="643"/>
        <w:rPr>
          <w:rFonts w:ascii="方正仿宋_GBK" w:eastAsia="方正仿宋_GBK" w:hAnsiTheme="minorEastAsia"/>
          <w:b/>
          <w:sz w:val="32"/>
          <w:szCs w:val="32"/>
        </w:rPr>
      </w:pPr>
      <w:r w:rsidRPr="00C83A5F">
        <w:rPr>
          <w:rFonts w:ascii="方正仿宋_GBK" w:eastAsia="方正仿宋_GBK" w:hAnsiTheme="minorEastAsia" w:hint="eastAsia"/>
          <w:b/>
          <w:sz w:val="32"/>
          <w:szCs w:val="32"/>
        </w:rPr>
        <w:t>第十条</w:t>
      </w:r>
      <w:r w:rsidRPr="00C83A5F">
        <w:rPr>
          <w:rFonts w:ascii="方正仿宋_GBK" w:eastAsia="方正仿宋_GBK" w:hAnsiTheme="minorEastAsia" w:hint="eastAsia"/>
          <w:sz w:val="32"/>
          <w:szCs w:val="32"/>
        </w:rPr>
        <w:t xml:space="preserve"> 使用“镇赉好物”品牌</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的企业和个人，必须得到</w:t>
      </w:r>
      <w:r w:rsidR="0092439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持有者的授权。使用“镇赉好物”品牌</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的企业和个人应具备以下条件：</w:t>
      </w:r>
    </w:p>
    <w:p w:rsidR="009E4C53" w:rsidRPr="00C83A5F" w:rsidRDefault="00C55C42" w:rsidP="00C83A5F">
      <w:pPr>
        <w:pStyle w:val="a4"/>
        <w:spacing w:line="360" w:lineRule="auto"/>
        <w:ind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 xml:space="preserve">1.使用人具有独立的企业、合作社或社团法人资格，注册地址在镇赉县内，并具有较强的管理、组织能力； </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2.使用“镇赉好物”区域公用品牌</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的产品必须在镇赉县境内生产，有鲜明的镇赉县地域代表性，有固定的生产、加工基地，且品质稳定、优良；</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lastRenderedPageBreak/>
        <w:t>3.产品需代加工的，首先必须有自己的注册商标，且年销售额在50万元以上，产品寻求的代加工企业需符合上述第一、第二款项要求；</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4.从事根雕、手工艺品及农产品初加工，符合“镇赉好物”产品属性，且具有注册商标的企业或个体，在一定条件下，适用“镇赉好物”</w:t>
      </w:r>
      <w:r w:rsidR="009626BD">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使用条件；</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5.产品近三年没有发生质量安全事故，没有因消费者投诉或被媒体曝光的。</w:t>
      </w:r>
    </w:p>
    <w:p w:rsidR="009E4C53" w:rsidRPr="00C83A5F" w:rsidRDefault="00C55C42">
      <w:pPr>
        <w:spacing w:line="360" w:lineRule="auto"/>
        <w:rPr>
          <w:rFonts w:ascii="黑体" w:eastAsia="黑体" w:hAnsi="黑体"/>
          <w:sz w:val="32"/>
          <w:szCs w:val="32"/>
        </w:rPr>
      </w:pPr>
      <w:r w:rsidRPr="00C83A5F">
        <w:rPr>
          <w:rFonts w:ascii="黑体" w:eastAsia="黑体" w:hAnsi="黑体" w:hint="eastAsia"/>
          <w:sz w:val="32"/>
          <w:szCs w:val="32"/>
        </w:rPr>
        <w:t>第四章 “镇赉好物”</w:t>
      </w:r>
      <w:r w:rsidR="0092439F">
        <w:rPr>
          <w:rFonts w:ascii="黑体" w:eastAsia="黑体" w:hAnsi="黑体" w:hint="eastAsia"/>
          <w:sz w:val="32"/>
          <w:szCs w:val="32"/>
        </w:rPr>
        <w:t>标识</w:t>
      </w:r>
      <w:r w:rsidRPr="00C83A5F">
        <w:rPr>
          <w:rFonts w:ascii="黑体" w:eastAsia="黑体" w:hAnsi="黑体" w:hint="eastAsia"/>
          <w:sz w:val="32"/>
          <w:szCs w:val="32"/>
        </w:rPr>
        <w:t>的申报流程及要件</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第十一条</w:t>
      </w:r>
      <w:r w:rsidRPr="00C83A5F">
        <w:rPr>
          <w:rFonts w:ascii="方正仿宋_GBK" w:eastAsia="方正仿宋_GBK" w:hAnsiTheme="minorEastAsia" w:hint="eastAsia"/>
          <w:sz w:val="32"/>
          <w:szCs w:val="32"/>
        </w:rPr>
        <w:t xml:space="preserve"> 镇赉县内凡生产、销售的农特产品符合“镇赉好物”</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质量要求的单位，使用该</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的，应向</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持有者提交申请书，</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持有者在10个工作日内完成对申请单位资质及其材料的真实性、完整性的初审，符合条件的，签署同意意见，加盖单位公章，报送镇赉县商务局、县市场监督管理局进行备案。审核内容包括：</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1.区域公共品牌使用申请书；</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2.提供具有其申请使用的农特产品的生产、批发、销售的合法资质（包括但不限于营业执照、法人身份证复印件、相关行业准入许可登记证明复印件等）；</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3.提供具有资质的检测机构出具的1年内有效检验报告原件（复印件必须加盖公章）或1年内有关部门组织的监督抽检合格证明；其他相关证书、证明等。</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lastRenderedPageBreak/>
        <w:t>4.凡有下列情况之一者，不得申请区域公共品牌使用权：</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（一）近3年内产品在县、市（区）及以上质量安全例行监测、专项抽检和监督抽查等工作中有不合格记录的。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（二）近3年内发生重大质量安全责任事件，或有重大质量投诉经查证属实的。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（三）被吊销、取消相关认证证书的。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（四）使用国家禁止的农业生产资料、原材料以及不符合质量安全要求农业投入品等的。</w:t>
      </w:r>
    </w:p>
    <w:p w:rsidR="009E4C53" w:rsidRPr="00C83A5F" w:rsidRDefault="00C55C42" w:rsidP="00C83A5F">
      <w:pPr>
        <w:spacing w:line="360" w:lineRule="auto"/>
        <w:ind w:firstLineChars="200" w:firstLine="640"/>
        <w:rPr>
          <w:rFonts w:ascii="方正仿宋_GBK" w:eastAsia="方正仿宋_GBK" w:hAnsiTheme="minorEastAsia"/>
          <w:sz w:val="32"/>
          <w:szCs w:val="32"/>
        </w:rPr>
      </w:pPr>
      <w:r w:rsidRPr="00C83A5F">
        <w:rPr>
          <w:rFonts w:ascii="方正仿宋_GBK" w:eastAsia="方正仿宋_GBK" w:hAnsiTheme="minorEastAsia" w:hint="eastAsia"/>
          <w:sz w:val="32"/>
          <w:szCs w:val="32"/>
        </w:rPr>
        <w:t>（五）有其他不符合区域公共品牌申请条件的。</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第十二条</w:t>
      </w:r>
      <w:r w:rsidRPr="00C83A5F">
        <w:rPr>
          <w:rFonts w:ascii="方正仿宋_GBK" w:eastAsia="方正仿宋_GBK" w:hAnsiTheme="minorEastAsia" w:hint="eastAsia"/>
          <w:sz w:val="32"/>
          <w:szCs w:val="32"/>
        </w:rPr>
        <w:t xml:space="preserve"> 商标持有者与符合“镇赉好物”</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使用条件的申请单位和个体签订</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许可使用合同书。合同有效期为一年，到期继续使用者，须在合同有效期届满前30日内向</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持有者提出续签合同的申请；逾期未提出申请者，合同有效期满后禁止使用该</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 xml:space="preserve">。 </w:t>
      </w:r>
    </w:p>
    <w:p w:rsidR="009E4C53" w:rsidRPr="00C83A5F" w:rsidRDefault="00C55C42">
      <w:pPr>
        <w:spacing w:line="360" w:lineRule="auto"/>
        <w:rPr>
          <w:rFonts w:ascii="黑体" w:eastAsia="黑体" w:hAnsi="黑体"/>
          <w:sz w:val="32"/>
          <w:szCs w:val="32"/>
        </w:rPr>
      </w:pPr>
      <w:r w:rsidRPr="00C83A5F">
        <w:rPr>
          <w:rFonts w:ascii="黑体" w:eastAsia="黑体" w:hAnsi="黑体" w:hint="eastAsia"/>
          <w:sz w:val="32"/>
          <w:szCs w:val="32"/>
        </w:rPr>
        <w:t>第五章 “镇赉好物”</w:t>
      </w:r>
      <w:r w:rsidR="0017747F">
        <w:rPr>
          <w:rFonts w:ascii="黑体" w:eastAsia="黑体" w:hAnsi="黑体" w:hint="eastAsia"/>
          <w:sz w:val="32"/>
          <w:szCs w:val="32"/>
        </w:rPr>
        <w:t>标识</w:t>
      </w:r>
      <w:r w:rsidRPr="00C83A5F">
        <w:rPr>
          <w:rFonts w:ascii="黑体" w:eastAsia="黑体" w:hAnsi="黑体" w:hint="eastAsia"/>
          <w:sz w:val="32"/>
          <w:szCs w:val="32"/>
        </w:rPr>
        <w:t>使用人权利</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第十三条</w:t>
      </w:r>
      <w:r w:rsidRPr="00C83A5F">
        <w:rPr>
          <w:rFonts w:ascii="方正仿宋_GBK" w:eastAsia="方正仿宋_GBK" w:hAnsiTheme="minorEastAsia" w:hint="eastAsia"/>
          <w:sz w:val="32"/>
          <w:szCs w:val="32"/>
        </w:rPr>
        <w:t xml:space="preserve"> 申请人提供的申请资料符合“镇赉好物”</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使用管理规则要求的，</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持有者不得拒绝接收申请材料。申请人申请未获批准并认为审批不公正的，可自收到通知之日起10日内向相关部门发起申诉。</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第十四条</w:t>
      </w:r>
      <w:r w:rsidRPr="00C83A5F">
        <w:rPr>
          <w:rFonts w:ascii="方正仿宋_GBK" w:eastAsia="方正仿宋_GBK" w:hAnsiTheme="minorEastAsia" w:hint="eastAsia"/>
          <w:sz w:val="32"/>
          <w:szCs w:val="32"/>
        </w:rPr>
        <w:t xml:space="preserve"> 在销售活动中使用“镇赉好物”</w:t>
      </w:r>
      <w:r w:rsidR="0092439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 xml:space="preserve">受法律保护。 </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第十五条</w:t>
      </w:r>
      <w:r w:rsidRPr="00C83A5F">
        <w:rPr>
          <w:rFonts w:ascii="方正仿宋_GBK" w:eastAsia="方正仿宋_GBK" w:hAnsiTheme="minorEastAsia" w:hint="eastAsia"/>
          <w:sz w:val="32"/>
          <w:szCs w:val="32"/>
        </w:rPr>
        <w:t xml:space="preserve"> 在国内外市场经营活动中，使用“镇赉好物”</w:t>
      </w:r>
      <w:r w:rsidR="0017747F">
        <w:rPr>
          <w:rFonts w:ascii="方正仿宋_GBK" w:eastAsia="方正仿宋_GBK" w:hAnsiTheme="minorEastAsia" w:hint="eastAsia"/>
          <w:sz w:val="32"/>
          <w:szCs w:val="32"/>
        </w:rPr>
        <w:lastRenderedPageBreak/>
        <w:t>标识</w:t>
      </w:r>
      <w:r w:rsidRPr="00C83A5F">
        <w:rPr>
          <w:rFonts w:ascii="方正仿宋_GBK" w:eastAsia="方正仿宋_GBK" w:hAnsiTheme="minorEastAsia" w:hint="eastAsia"/>
          <w:sz w:val="32"/>
          <w:szCs w:val="32"/>
        </w:rPr>
        <w:t xml:space="preserve">进行产品广告宣传。 </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第十六条</w:t>
      </w:r>
      <w:r w:rsidRPr="00C83A5F">
        <w:rPr>
          <w:rFonts w:ascii="方正仿宋_GBK" w:eastAsia="方正仿宋_GBK" w:hAnsiTheme="minorEastAsia" w:hint="eastAsia"/>
          <w:sz w:val="32"/>
          <w:szCs w:val="32"/>
        </w:rPr>
        <w:t xml:space="preserve"> 优先参加相关部门主办或协办的展销会、技术培训、贸易洽谈、信息交流等活动。</w:t>
      </w:r>
    </w:p>
    <w:p w:rsidR="009E4C53" w:rsidRPr="00C83A5F" w:rsidRDefault="00C55C42">
      <w:pPr>
        <w:spacing w:line="360" w:lineRule="auto"/>
        <w:rPr>
          <w:rFonts w:ascii="黑体" w:eastAsia="黑体" w:hAnsi="黑体"/>
          <w:sz w:val="32"/>
          <w:szCs w:val="32"/>
        </w:rPr>
      </w:pPr>
      <w:r w:rsidRPr="00C83A5F">
        <w:rPr>
          <w:rFonts w:ascii="黑体" w:eastAsia="黑体" w:hAnsi="黑体" w:hint="eastAsia"/>
          <w:sz w:val="32"/>
          <w:szCs w:val="32"/>
        </w:rPr>
        <w:t>第六章 “镇赉好物”</w:t>
      </w:r>
      <w:r w:rsidR="0092439F">
        <w:rPr>
          <w:rFonts w:ascii="黑体" w:eastAsia="黑体" w:hAnsi="黑体" w:hint="eastAsia"/>
          <w:sz w:val="32"/>
          <w:szCs w:val="32"/>
        </w:rPr>
        <w:t>标识</w:t>
      </w:r>
      <w:r w:rsidRPr="00C83A5F">
        <w:rPr>
          <w:rFonts w:ascii="黑体" w:eastAsia="黑体" w:hAnsi="黑体" w:hint="eastAsia"/>
          <w:sz w:val="32"/>
          <w:szCs w:val="32"/>
        </w:rPr>
        <w:t>使用人义务</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第十七条</w:t>
      </w:r>
      <w:r w:rsidRPr="00C83A5F">
        <w:rPr>
          <w:rFonts w:ascii="方正仿宋_GBK" w:eastAsia="方正仿宋_GBK" w:hAnsiTheme="minorEastAsia" w:hint="eastAsia"/>
          <w:sz w:val="32"/>
          <w:szCs w:val="32"/>
        </w:rPr>
        <w:t xml:space="preserve"> 使用“镇赉好物”</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的产品在销售活动中必须符合品牌要求的质量标准，“主商标”包装使用</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持有者统一监制的包装和包装版面设计，“副商标”包装按照“镇赉好物”品牌标识在授权企业品牌标志之左或上的原则排列，不得擅自改变</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 xml:space="preserve">的文字和图形。 </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 xml:space="preserve">第十八条 </w:t>
      </w:r>
      <w:r w:rsidRPr="00C83A5F">
        <w:rPr>
          <w:rFonts w:ascii="方正仿宋_GBK" w:eastAsia="方正仿宋_GBK" w:hAnsiTheme="minorEastAsia" w:hint="eastAsia"/>
          <w:sz w:val="32"/>
          <w:szCs w:val="32"/>
        </w:rPr>
        <w:t>“镇赉好物”</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使用者无条件接受对产品质量的检测和</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 xml:space="preserve">使用的监督。 </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第十九条</w:t>
      </w:r>
      <w:r w:rsidRPr="00C83A5F">
        <w:rPr>
          <w:rFonts w:ascii="方正仿宋_GBK" w:eastAsia="方正仿宋_GBK" w:hAnsiTheme="minorEastAsia" w:hint="eastAsia"/>
          <w:sz w:val="32"/>
          <w:szCs w:val="32"/>
        </w:rPr>
        <w:t xml:space="preserve"> “镇赉好物”</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使用人应确保商标不失控、不挪用、不流失，不得对外转让、出售、馈赠。</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 xml:space="preserve">第二十条 </w:t>
      </w:r>
      <w:r w:rsidRPr="00C83A5F">
        <w:rPr>
          <w:rFonts w:ascii="方正仿宋_GBK" w:eastAsia="方正仿宋_GBK" w:hAnsiTheme="minorEastAsia" w:hint="eastAsia"/>
          <w:sz w:val="32"/>
          <w:szCs w:val="32"/>
        </w:rPr>
        <w:t>保持产品质量稳定合格。</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 xml:space="preserve">第二十一条 </w:t>
      </w:r>
      <w:r w:rsidRPr="00C83A5F">
        <w:rPr>
          <w:rFonts w:ascii="方正仿宋_GBK" w:eastAsia="方正仿宋_GBK" w:hAnsiTheme="minorEastAsia" w:hint="eastAsia"/>
          <w:sz w:val="32"/>
          <w:szCs w:val="32"/>
        </w:rPr>
        <w:t>采取各种形式积极宣传区域公共品牌，向社会展示和推广质量管理经验和成果。</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 xml:space="preserve">第二十二条 </w:t>
      </w:r>
      <w:r w:rsidRPr="00C83A5F">
        <w:rPr>
          <w:rFonts w:ascii="方正仿宋_GBK" w:eastAsia="方正仿宋_GBK" w:hAnsiTheme="minorEastAsia" w:hint="eastAsia"/>
          <w:sz w:val="32"/>
          <w:szCs w:val="32"/>
        </w:rPr>
        <w:t>每年应向县商务局提交监测评估材料，包括产品检测报告、宣传语设计、宣传推广成果，区域公共品牌授权使用情况，区域公共品牌建设成效等。</w:t>
      </w:r>
    </w:p>
    <w:p w:rsidR="009E4C53" w:rsidRPr="00C83A5F" w:rsidRDefault="00C55C42">
      <w:pPr>
        <w:spacing w:line="360" w:lineRule="auto"/>
        <w:rPr>
          <w:rFonts w:ascii="黑体" w:eastAsia="黑体" w:hAnsi="黑体"/>
          <w:sz w:val="32"/>
          <w:szCs w:val="32"/>
        </w:rPr>
      </w:pPr>
      <w:r w:rsidRPr="00C83A5F">
        <w:rPr>
          <w:rFonts w:ascii="黑体" w:eastAsia="黑体" w:hAnsi="黑体" w:hint="eastAsia"/>
          <w:sz w:val="32"/>
          <w:szCs w:val="32"/>
        </w:rPr>
        <w:t>第七章 “镇赉好物”品牌管理和保护</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 xml:space="preserve">第二十三条 </w:t>
      </w:r>
      <w:r w:rsidRPr="00C83A5F">
        <w:rPr>
          <w:rFonts w:ascii="方正仿宋_GBK" w:eastAsia="方正仿宋_GBK" w:hAnsiTheme="minorEastAsia" w:hint="eastAsia"/>
          <w:sz w:val="32"/>
          <w:szCs w:val="32"/>
        </w:rPr>
        <w:t>“镇赉好物”大米品种选择应为：长粒：中科发5、哈417、白粳</w:t>
      </w:r>
      <w:bookmarkStart w:id="0" w:name="_GoBack"/>
      <w:bookmarkEnd w:id="0"/>
      <w:r w:rsidRPr="00C83A5F">
        <w:rPr>
          <w:rFonts w:ascii="方正仿宋_GBK" w:eastAsia="方正仿宋_GBK" w:hAnsiTheme="minorEastAsia" w:hint="eastAsia"/>
          <w:sz w:val="32"/>
          <w:szCs w:val="32"/>
        </w:rPr>
        <w:t>2、稻花香；圆粒：吉宏6等优良品</w:t>
      </w:r>
      <w:r w:rsidRPr="00C83A5F">
        <w:rPr>
          <w:rFonts w:ascii="方正仿宋_GBK" w:eastAsia="方正仿宋_GBK" w:hAnsiTheme="minorEastAsia" w:hint="eastAsia"/>
          <w:sz w:val="32"/>
          <w:szCs w:val="32"/>
        </w:rPr>
        <w:lastRenderedPageBreak/>
        <w:t>种。</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 xml:space="preserve">第二十四条 </w:t>
      </w:r>
      <w:r w:rsidRPr="00C83A5F">
        <w:rPr>
          <w:rFonts w:ascii="方正仿宋_GBK" w:eastAsia="方正仿宋_GBK" w:hAnsiTheme="minorEastAsia" w:hint="eastAsia"/>
          <w:sz w:val="32"/>
          <w:szCs w:val="32"/>
        </w:rPr>
        <w:t>商标持有者与“镇赉好物”</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使用人签订的使用合同，送交镇赉县商务局、县市场监督管理局存查，并报送国家市场监督管理总局备案。</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第二十五条</w:t>
      </w:r>
      <w:r w:rsidRPr="00C83A5F">
        <w:rPr>
          <w:rFonts w:ascii="方正仿宋_GBK" w:eastAsia="方正仿宋_GBK" w:hAnsiTheme="minorEastAsia" w:hint="eastAsia"/>
          <w:sz w:val="32"/>
          <w:szCs w:val="32"/>
        </w:rPr>
        <w:t xml:space="preserve"> 为确保“镇赉好物”</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使用和管理工作的正常运行，</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 xml:space="preserve">持有者协调相关部门须对品牌产品生产经营活动全过程及产品质量进行定期跟踪检查、监督，并提请有关部门调查处理侵权、假冒等案件。 </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第二十六条</w:t>
      </w:r>
      <w:r w:rsidRPr="00C83A5F">
        <w:rPr>
          <w:rFonts w:ascii="方正仿宋_GBK" w:eastAsia="方正仿宋_GBK" w:hAnsiTheme="minorEastAsia" w:hint="eastAsia"/>
          <w:sz w:val="32"/>
          <w:szCs w:val="32"/>
        </w:rPr>
        <w:t xml:space="preserve"> 未经批准，擅自使用“镇赉好物”</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或使用相同、相近商标的，</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持有者提请市场监督管理局等有关部门依法查处，责令其停止侵权 行为并公开道歉、赔偿损失，构成犯罪的，依法提起刑事诉讼。</w:t>
      </w:r>
    </w:p>
    <w:p w:rsidR="009E4C53" w:rsidRPr="00C83A5F" w:rsidRDefault="00C55C42">
      <w:pPr>
        <w:spacing w:line="360" w:lineRule="auto"/>
        <w:rPr>
          <w:rFonts w:ascii="黑体" w:eastAsia="黑体" w:hAnsi="黑体"/>
          <w:sz w:val="32"/>
          <w:szCs w:val="32"/>
        </w:rPr>
      </w:pPr>
      <w:r w:rsidRPr="00C83A5F">
        <w:rPr>
          <w:rFonts w:ascii="黑体" w:eastAsia="黑体" w:hAnsi="黑体" w:hint="eastAsia"/>
          <w:sz w:val="32"/>
          <w:szCs w:val="32"/>
        </w:rPr>
        <w:t xml:space="preserve">第八章 </w:t>
      </w:r>
      <w:r w:rsidRPr="00C83A5F">
        <w:rPr>
          <w:rFonts w:ascii="黑体" w:eastAsia="黑体" w:hAnsi="黑体" w:hint="eastAsia"/>
          <w:bCs/>
          <w:sz w:val="32"/>
          <w:szCs w:val="32"/>
        </w:rPr>
        <w:t>“镇赉好物”品牌标识使用标准</w:t>
      </w:r>
    </w:p>
    <w:p w:rsidR="009E4C53" w:rsidRPr="00C83A5F" w:rsidRDefault="00C55C42" w:rsidP="00C83A5F">
      <w:pPr>
        <w:ind w:firstLineChars="200" w:firstLine="643"/>
        <w:rPr>
          <w:rFonts w:ascii="方正仿宋_GBK" w:eastAsia="方正仿宋_GBK" w:hAnsi="宋体" w:cs="宋体"/>
          <w:sz w:val="32"/>
          <w:szCs w:val="32"/>
          <w:shd w:val="clear" w:color="auto" w:fill="FFFFFF"/>
        </w:rPr>
      </w:pPr>
      <w:r w:rsidRPr="00C83A5F">
        <w:rPr>
          <w:rFonts w:ascii="方正仿宋_GBK" w:eastAsia="方正仿宋_GBK" w:hAnsi="宋体" w:cs="宋体" w:hint="eastAsia"/>
          <w:b/>
          <w:sz w:val="32"/>
          <w:szCs w:val="32"/>
          <w:shd w:val="clear" w:color="auto" w:fill="FFFFFF"/>
        </w:rPr>
        <w:t>第二十七条</w:t>
      </w:r>
      <w:r w:rsidRPr="00C83A5F">
        <w:rPr>
          <w:rFonts w:ascii="方正仿宋_GBK" w:eastAsia="方正仿宋_GBK" w:hAnsi="宋体" w:cs="宋体" w:hint="eastAsia"/>
          <w:sz w:val="32"/>
          <w:szCs w:val="32"/>
          <w:shd w:val="clear" w:color="auto" w:fill="FFFFFF"/>
        </w:rPr>
        <w:t xml:space="preserve"> 申请使用“镇赉好物”区域品牌标识的企业或个人，所生产的产品需具有镇赉区域品牌、老字号、省市著名商标，或是在镇赉当地具有地方特色</w:t>
      </w:r>
      <w:r w:rsidR="00F0292F">
        <w:rPr>
          <w:rFonts w:ascii="方正仿宋_GBK" w:eastAsia="方正仿宋_GBK" w:hAnsi="宋体" w:cs="宋体" w:hint="eastAsia"/>
          <w:sz w:val="32"/>
          <w:szCs w:val="32"/>
          <w:shd w:val="clear" w:color="auto" w:fill="FFFFFF"/>
        </w:rPr>
        <w:t>及相应影响力</w:t>
      </w:r>
      <w:r w:rsidRPr="00C83A5F">
        <w:rPr>
          <w:rFonts w:ascii="方正仿宋_GBK" w:eastAsia="方正仿宋_GBK" w:hAnsi="宋体" w:cs="宋体" w:hint="eastAsia"/>
          <w:sz w:val="32"/>
          <w:szCs w:val="32"/>
          <w:shd w:val="clear" w:color="auto" w:fill="FFFFFF"/>
        </w:rPr>
        <w:t>的产品。</w:t>
      </w:r>
    </w:p>
    <w:p w:rsidR="009E4C53" w:rsidRPr="00C83A5F" w:rsidRDefault="00C55C42" w:rsidP="00C83A5F">
      <w:pPr>
        <w:ind w:firstLineChars="200" w:firstLine="643"/>
        <w:rPr>
          <w:rFonts w:ascii="方正仿宋_GBK" w:eastAsia="方正仿宋_GBK" w:hAnsi="宋体" w:cs="宋体"/>
          <w:sz w:val="32"/>
          <w:szCs w:val="32"/>
          <w:shd w:val="clear" w:color="auto" w:fill="FFFFFF"/>
        </w:rPr>
      </w:pPr>
      <w:r w:rsidRPr="00C83A5F">
        <w:rPr>
          <w:rFonts w:ascii="方正仿宋_GBK" w:eastAsia="方正仿宋_GBK" w:hAnsi="宋体" w:cs="宋体" w:hint="eastAsia"/>
          <w:b/>
          <w:sz w:val="32"/>
          <w:szCs w:val="32"/>
          <w:shd w:val="clear" w:color="auto" w:fill="FFFFFF"/>
        </w:rPr>
        <w:t>第二十八条</w:t>
      </w:r>
      <w:r w:rsidRPr="00C83A5F">
        <w:rPr>
          <w:rFonts w:ascii="方正仿宋_GBK" w:eastAsia="方正仿宋_GBK" w:hAnsi="宋体" w:cs="宋体" w:hint="eastAsia"/>
          <w:sz w:val="32"/>
          <w:szCs w:val="32"/>
          <w:shd w:val="clear" w:color="auto" w:fill="FFFFFF"/>
        </w:rPr>
        <w:t xml:space="preserve"> 产品必须符合国家、地方以及行业相关法律法规对质量和安全的要求，涵盖产品质量标准、食品安全标准、卫生标准等各个方面。</w:t>
      </w:r>
    </w:p>
    <w:p w:rsidR="009E4C53" w:rsidRPr="00C83A5F" w:rsidRDefault="00C55C42" w:rsidP="00C83A5F">
      <w:pPr>
        <w:ind w:firstLineChars="200" w:firstLine="643"/>
        <w:rPr>
          <w:rFonts w:ascii="方正仿宋_GBK" w:eastAsia="方正仿宋_GBK" w:hAnsi="宋体" w:cs="宋体"/>
          <w:sz w:val="32"/>
          <w:szCs w:val="32"/>
          <w:shd w:val="clear" w:color="auto" w:fill="FFFFFF"/>
        </w:rPr>
      </w:pPr>
      <w:r w:rsidRPr="00C83A5F">
        <w:rPr>
          <w:rFonts w:ascii="方正仿宋_GBK" w:eastAsia="方正仿宋_GBK" w:hAnsi="宋体" w:cs="宋体" w:hint="eastAsia"/>
          <w:b/>
          <w:sz w:val="32"/>
          <w:szCs w:val="32"/>
          <w:shd w:val="clear" w:color="auto" w:fill="FFFFFF"/>
        </w:rPr>
        <w:t>第二</w:t>
      </w:r>
      <w:r w:rsidR="00C83A5F" w:rsidRPr="00C83A5F">
        <w:rPr>
          <w:rFonts w:ascii="方正仿宋_GBK" w:eastAsia="方正仿宋_GBK" w:hAnsi="宋体" w:cs="宋体" w:hint="eastAsia"/>
          <w:b/>
          <w:sz w:val="32"/>
          <w:szCs w:val="32"/>
          <w:shd w:val="clear" w:color="auto" w:fill="FFFFFF"/>
        </w:rPr>
        <w:t>十</w:t>
      </w:r>
      <w:r w:rsidRPr="00C83A5F">
        <w:rPr>
          <w:rFonts w:ascii="方正仿宋_GBK" w:eastAsia="方正仿宋_GBK" w:hAnsi="宋体" w:cs="宋体" w:hint="eastAsia"/>
          <w:b/>
          <w:sz w:val="32"/>
          <w:szCs w:val="32"/>
          <w:shd w:val="clear" w:color="auto" w:fill="FFFFFF"/>
        </w:rPr>
        <w:t xml:space="preserve">九条 </w:t>
      </w:r>
      <w:r w:rsidRPr="00C83A5F">
        <w:rPr>
          <w:rFonts w:ascii="方正仿宋_GBK" w:eastAsia="方正仿宋_GBK" w:hAnsi="宋体" w:cs="宋体" w:hint="eastAsia"/>
          <w:sz w:val="32"/>
          <w:szCs w:val="32"/>
          <w:shd w:val="clear" w:color="auto" w:fill="FFFFFF"/>
        </w:rPr>
        <w:t>在产品生产、加工、包装等全流程环节中，必须保障环境安全、干净、整洁且无污染。生产加工环境应</w:t>
      </w:r>
      <w:r w:rsidRPr="00C83A5F">
        <w:rPr>
          <w:rFonts w:ascii="方正仿宋_GBK" w:eastAsia="方正仿宋_GBK" w:hAnsi="宋体" w:cs="宋体" w:hint="eastAsia"/>
          <w:sz w:val="32"/>
          <w:szCs w:val="32"/>
          <w:shd w:val="clear" w:color="auto" w:fill="FFFFFF"/>
        </w:rPr>
        <w:lastRenderedPageBreak/>
        <w:t>符合对应行业的生产制造标准。产品需通过必要的质量认证和检测。对于食品类产品，经营加工主体必须获得食品生产许可证。</w:t>
      </w:r>
    </w:p>
    <w:p w:rsidR="009E4C53" w:rsidRPr="00C83A5F" w:rsidRDefault="00C55C42" w:rsidP="00C83A5F">
      <w:pPr>
        <w:spacing w:line="360" w:lineRule="auto"/>
        <w:ind w:firstLineChars="200" w:firstLine="643"/>
        <w:rPr>
          <w:rFonts w:ascii="方正仿宋_GBK" w:eastAsia="方正仿宋_GBK" w:hAnsi="宋体" w:cs="宋体"/>
          <w:sz w:val="32"/>
          <w:szCs w:val="32"/>
        </w:rPr>
      </w:pPr>
      <w:r w:rsidRPr="00C83A5F">
        <w:rPr>
          <w:rFonts w:ascii="方正仿宋_GBK" w:eastAsia="方正仿宋_GBK" w:hAnsi="宋体" w:cs="宋体" w:hint="eastAsia"/>
          <w:b/>
          <w:sz w:val="32"/>
          <w:szCs w:val="32"/>
          <w:shd w:val="clear" w:color="auto" w:fill="FFFFFF"/>
        </w:rPr>
        <w:t>第三十条</w:t>
      </w:r>
      <w:r w:rsidRPr="00C83A5F">
        <w:rPr>
          <w:rFonts w:ascii="方正仿宋_GBK" w:eastAsia="方正仿宋_GBK" w:hAnsi="宋体" w:cs="宋体" w:hint="eastAsia"/>
          <w:sz w:val="32"/>
          <w:szCs w:val="32"/>
          <w:shd w:val="clear" w:color="auto" w:fill="FFFFFF"/>
        </w:rPr>
        <w:t xml:space="preserve"> 获得授权的使用主体在品牌标识、包装设计、广告宣传等各个方面保持与品牌形象的一致性和规范性。</w:t>
      </w:r>
    </w:p>
    <w:p w:rsidR="009E4C53" w:rsidRPr="00C83A5F" w:rsidRDefault="00C55C42">
      <w:pPr>
        <w:spacing w:line="360" w:lineRule="auto"/>
        <w:rPr>
          <w:rFonts w:ascii="黑体" w:eastAsia="黑体" w:hAnsi="黑体"/>
          <w:sz w:val="32"/>
          <w:szCs w:val="32"/>
        </w:rPr>
      </w:pPr>
      <w:r w:rsidRPr="00C83A5F">
        <w:rPr>
          <w:rFonts w:ascii="黑体" w:eastAsia="黑体" w:hAnsi="黑体" w:hint="eastAsia"/>
          <w:sz w:val="32"/>
          <w:szCs w:val="32"/>
        </w:rPr>
        <w:t>第九章 附则</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 xml:space="preserve">第二十七条 </w:t>
      </w:r>
      <w:r w:rsidRPr="00C83A5F">
        <w:rPr>
          <w:rFonts w:ascii="方正仿宋_GBK" w:eastAsia="方正仿宋_GBK" w:hAnsiTheme="minorEastAsia" w:hint="eastAsia"/>
          <w:sz w:val="32"/>
          <w:szCs w:val="32"/>
        </w:rPr>
        <w:t>本办法由</w:t>
      </w:r>
      <w:r w:rsidR="0017747F">
        <w:rPr>
          <w:rFonts w:ascii="方正仿宋_GBK" w:eastAsia="方正仿宋_GBK" w:hAnsiTheme="minorEastAsia" w:hint="eastAsia"/>
          <w:sz w:val="32"/>
          <w:szCs w:val="32"/>
        </w:rPr>
        <w:t>标识</w:t>
      </w:r>
      <w:r w:rsidRPr="00C83A5F">
        <w:rPr>
          <w:rFonts w:ascii="方正仿宋_GBK" w:eastAsia="方正仿宋_GBK" w:hAnsiTheme="minorEastAsia" w:hint="eastAsia"/>
          <w:sz w:val="32"/>
          <w:szCs w:val="32"/>
        </w:rPr>
        <w:t>持有者负责解释。</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 xml:space="preserve">第二十八条 </w:t>
      </w:r>
      <w:r w:rsidRPr="00C83A5F">
        <w:rPr>
          <w:rFonts w:ascii="方正仿宋_GBK" w:eastAsia="方正仿宋_GBK" w:hAnsiTheme="minorEastAsia" w:hint="eastAsia"/>
          <w:sz w:val="32"/>
          <w:szCs w:val="32"/>
        </w:rPr>
        <w:t>本办法未尽事宜，采取一事一议的原则。</w:t>
      </w:r>
    </w:p>
    <w:p w:rsidR="009E4C53" w:rsidRPr="00C83A5F" w:rsidRDefault="00C55C42" w:rsidP="00C83A5F">
      <w:pPr>
        <w:spacing w:line="360" w:lineRule="auto"/>
        <w:ind w:firstLineChars="200" w:firstLine="643"/>
        <w:rPr>
          <w:rFonts w:ascii="方正仿宋_GBK" w:eastAsia="方正仿宋_GBK" w:hAnsiTheme="minorEastAsia"/>
          <w:sz w:val="32"/>
          <w:szCs w:val="32"/>
        </w:rPr>
      </w:pPr>
      <w:r w:rsidRPr="00C83A5F">
        <w:rPr>
          <w:rFonts w:ascii="方正仿宋_GBK" w:eastAsia="方正仿宋_GBK" w:hAnsiTheme="minorEastAsia" w:hint="eastAsia"/>
          <w:b/>
          <w:sz w:val="32"/>
          <w:szCs w:val="32"/>
        </w:rPr>
        <w:t>第二十九条</w:t>
      </w:r>
      <w:r w:rsidRPr="00C83A5F">
        <w:rPr>
          <w:rFonts w:ascii="方正仿宋_GBK" w:eastAsia="方正仿宋_GBK" w:hAnsiTheme="minorEastAsia" w:hint="eastAsia"/>
          <w:sz w:val="32"/>
          <w:szCs w:val="32"/>
        </w:rPr>
        <w:t xml:space="preserve"> 本办法自发布之日起施行。</w:t>
      </w:r>
    </w:p>
    <w:p w:rsidR="009E4C53" w:rsidRDefault="00C55C42">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9E4C53" w:rsidRDefault="00C55C42">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9E4C53" w:rsidRDefault="009E4C53">
      <w:pPr>
        <w:spacing w:line="360" w:lineRule="auto"/>
        <w:rPr>
          <w:rFonts w:asciiTheme="minorEastAsia" w:hAnsiTheme="minorEastAsia"/>
          <w:sz w:val="24"/>
          <w:szCs w:val="24"/>
        </w:rPr>
      </w:pPr>
    </w:p>
    <w:sectPr w:rsidR="009E4C53" w:rsidSect="009E4C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107" w:rsidRDefault="007F0107" w:rsidP="00C83A5F">
      <w:r>
        <w:separator/>
      </w:r>
    </w:p>
  </w:endnote>
  <w:endnote w:type="continuationSeparator" w:id="0">
    <w:p w:rsidR="007F0107" w:rsidRDefault="007F0107" w:rsidP="00C83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7891"/>
      <w:docPartObj>
        <w:docPartGallery w:val="Page Numbers (Bottom of Page)"/>
        <w:docPartUnique/>
      </w:docPartObj>
    </w:sdtPr>
    <w:sdtContent>
      <w:p w:rsidR="00C83A5F" w:rsidRDefault="005B51A8">
        <w:pPr>
          <w:pStyle w:val="a6"/>
          <w:jc w:val="center"/>
        </w:pPr>
        <w:fldSimple w:instr=" PAGE   \* MERGEFORMAT ">
          <w:r w:rsidR="00B94DE2" w:rsidRPr="00B94DE2">
            <w:rPr>
              <w:noProof/>
              <w:lang w:val="zh-CN"/>
            </w:rPr>
            <w:t>1</w:t>
          </w:r>
        </w:fldSimple>
      </w:p>
    </w:sdtContent>
  </w:sdt>
  <w:p w:rsidR="00C83A5F" w:rsidRDefault="00C83A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107" w:rsidRDefault="007F0107" w:rsidP="00C83A5F">
      <w:r>
        <w:separator/>
      </w:r>
    </w:p>
  </w:footnote>
  <w:footnote w:type="continuationSeparator" w:id="0">
    <w:p w:rsidR="007F0107" w:rsidRDefault="007F0107" w:rsidP="00C83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1D49"/>
    <w:multiLevelType w:val="singleLevel"/>
    <w:tmpl w:val="21331D49"/>
    <w:lvl w:ilvl="0">
      <w:start w:val="5"/>
      <w:numFmt w:val="chineseCounting"/>
      <w:suff w:val="space"/>
      <w:lvlText w:val="第%1条"/>
      <w:lvlJc w:val="left"/>
      <w:rPr>
        <w:rFonts w:hint="eastAsia"/>
        <w:b/>
        <w:bCs/>
      </w:rPr>
    </w:lvl>
  </w:abstractNum>
  <w:abstractNum w:abstractNumId="1">
    <w:nsid w:val="32D642B7"/>
    <w:multiLevelType w:val="singleLevel"/>
    <w:tmpl w:val="32D642B7"/>
    <w:lvl w:ilvl="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3CC"/>
    <w:rsid w:val="000334E7"/>
    <w:rsid w:val="00046CC7"/>
    <w:rsid w:val="000542D0"/>
    <w:rsid w:val="0006328C"/>
    <w:rsid w:val="0009614D"/>
    <w:rsid w:val="000C5C6C"/>
    <w:rsid w:val="000C7EFB"/>
    <w:rsid w:val="00147D4F"/>
    <w:rsid w:val="001540DA"/>
    <w:rsid w:val="001659A2"/>
    <w:rsid w:val="0017747F"/>
    <w:rsid w:val="00187632"/>
    <w:rsid w:val="001B536E"/>
    <w:rsid w:val="001E3CF8"/>
    <w:rsid w:val="00204847"/>
    <w:rsid w:val="002C107F"/>
    <w:rsid w:val="002E13CC"/>
    <w:rsid w:val="00301B92"/>
    <w:rsid w:val="0031532D"/>
    <w:rsid w:val="003153AC"/>
    <w:rsid w:val="00360915"/>
    <w:rsid w:val="003B1BB9"/>
    <w:rsid w:val="003D0D8A"/>
    <w:rsid w:val="003E6E09"/>
    <w:rsid w:val="003F5E1D"/>
    <w:rsid w:val="00426C59"/>
    <w:rsid w:val="00462B9A"/>
    <w:rsid w:val="004A6A0B"/>
    <w:rsid w:val="004C6F80"/>
    <w:rsid w:val="00512207"/>
    <w:rsid w:val="00545DB6"/>
    <w:rsid w:val="0059064E"/>
    <w:rsid w:val="005B51A8"/>
    <w:rsid w:val="005D7711"/>
    <w:rsid w:val="00605524"/>
    <w:rsid w:val="0063351C"/>
    <w:rsid w:val="006705CD"/>
    <w:rsid w:val="006B0E5E"/>
    <w:rsid w:val="007458B3"/>
    <w:rsid w:val="00782829"/>
    <w:rsid w:val="007910AE"/>
    <w:rsid w:val="007B2177"/>
    <w:rsid w:val="007F0107"/>
    <w:rsid w:val="0082261F"/>
    <w:rsid w:val="00874A39"/>
    <w:rsid w:val="008F6DC9"/>
    <w:rsid w:val="00906A17"/>
    <w:rsid w:val="0092439F"/>
    <w:rsid w:val="009626BD"/>
    <w:rsid w:val="009C78E4"/>
    <w:rsid w:val="009D1BC7"/>
    <w:rsid w:val="009E4C53"/>
    <w:rsid w:val="00A0774A"/>
    <w:rsid w:val="00A36811"/>
    <w:rsid w:val="00AC5ED6"/>
    <w:rsid w:val="00B03B4F"/>
    <w:rsid w:val="00B23533"/>
    <w:rsid w:val="00B31FBC"/>
    <w:rsid w:val="00B94DE2"/>
    <w:rsid w:val="00BA682F"/>
    <w:rsid w:val="00BD58E7"/>
    <w:rsid w:val="00BE24F0"/>
    <w:rsid w:val="00BE3AC4"/>
    <w:rsid w:val="00C17D9C"/>
    <w:rsid w:val="00C42EFB"/>
    <w:rsid w:val="00C55C42"/>
    <w:rsid w:val="00C5790F"/>
    <w:rsid w:val="00C74FD6"/>
    <w:rsid w:val="00C83A5F"/>
    <w:rsid w:val="00C90EE3"/>
    <w:rsid w:val="00CA2F93"/>
    <w:rsid w:val="00CB20FF"/>
    <w:rsid w:val="00CE6542"/>
    <w:rsid w:val="00D36904"/>
    <w:rsid w:val="00D45E6D"/>
    <w:rsid w:val="00D83C23"/>
    <w:rsid w:val="00DB6A05"/>
    <w:rsid w:val="00E30F5F"/>
    <w:rsid w:val="00E5637C"/>
    <w:rsid w:val="00E81628"/>
    <w:rsid w:val="00E83D4C"/>
    <w:rsid w:val="00F0292F"/>
    <w:rsid w:val="00F34AA7"/>
    <w:rsid w:val="00FB5F06"/>
    <w:rsid w:val="00FB7CF5"/>
    <w:rsid w:val="02A71959"/>
    <w:rsid w:val="08EA4CFD"/>
    <w:rsid w:val="0F3737AF"/>
    <w:rsid w:val="144002EE"/>
    <w:rsid w:val="19484C07"/>
    <w:rsid w:val="1AFC4CEC"/>
    <w:rsid w:val="247A6A25"/>
    <w:rsid w:val="26E36269"/>
    <w:rsid w:val="2EF84E5F"/>
    <w:rsid w:val="2F340C40"/>
    <w:rsid w:val="3E102C67"/>
    <w:rsid w:val="55D41DE6"/>
    <w:rsid w:val="591C3106"/>
    <w:rsid w:val="6601510A"/>
    <w:rsid w:val="701677CB"/>
    <w:rsid w:val="74582D3F"/>
    <w:rsid w:val="759249D0"/>
    <w:rsid w:val="75C36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53"/>
    <w:pPr>
      <w:widowControl w:val="0"/>
      <w:jc w:val="both"/>
    </w:pPr>
    <w:rPr>
      <w:kern w:val="2"/>
      <w:sz w:val="21"/>
      <w:szCs w:val="22"/>
    </w:rPr>
  </w:style>
  <w:style w:type="paragraph" w:styleId="1">
    <w:name w:val="heading 1"/>
    <w:basedOn w:val="a"/>
    <w:next w:val="a"/>
    <w:qFormat/>
    <w:rsid w:val="009E4C53"/>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qFormat/>
    <w:rsid w:val="009E4C53"/>
    <w:pPr>
      <w:widowControl/>
      <w:spacing w:before="100" w:beforeAutospacing="1" w:after="100" w:afterAutospacing="1"/>
      <w:jc w:val="left"/>
    </w:pPr>
    <w:rPr>
      <w:rFonts w:ascii="宋体" w:hAnsi="宋体" w:cs="宋体"/>
      <w:kern w:val="0"/>
      <w:sz w:val="24"/>
      <w:szCs w:val="24"/>
    </w:rPr>
  </w:style>
  <w:style w:type="paragraph" w:customStyle="1" w:styleId="-1">
    <w:name w:val="正文-公1"/>
    <w:basedOn w:val="a"/>
    <w:qFormat/>
    <w:rsid w:val="009E4C53"/>
    <w:pPr>
      <w:ind w:firstLineChars="200" w:firstLine="200"/>
    </w:pPr>
    <w:rPr>
      <w:rFonts w:ascii="Calibri" w:eastAsia="宋体" w:hAnsi="Calibri" w:cs="Times New Roman"/>
      <w:szCs w:val="24"/>
    </w:rPr>
  </w:style>
  <w:style w:type="paragraph" w:styleId="a4">
    <w:name w:val="List Paragraph"/>
    <w:basedOn w:val="a"/>
    <w:uiPriority w:val="34"/>
    <w:qFormat/>
    <w:rsid w:val="009E4C53"/>
    <w:pPr>
      <w:ind w:firstLineChars="200" w:firstLine="420"/>
    </w:pPr>
  </w:style>
  <w:style w:type="paragraph" w:styleId="a5">
    <w:name w:val="header"/>
    <w:basedOn w:val="a"/>
    <w:link w:val="Char"/>
    <w:uiPriority w:val="99"/>
    <w:semiHidden/>
    <w:unhideWhenUsed/>
    <w:rsid w:val="00C83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83A5F"/>
    <w:rPr>
      <w:kern w:val="2"/>
      <w:sz w:val="18"/>
      <w:szCs w:val="18"/>
    </w:rPr>
  </w:style>
  <w:style w:type="paragraph" w:styleId="a6">
    <w:name w:val="footer"/>
    <w:basedOn w:val="a"/>
    <w:link w:val="Char0"/>
    <w:uiPriority w:val="99"/>
    <w:unhideWhenUsed/>
    <w:rsid w:val="00C83A5F"/>
    <w:pPr>
      <w:tabs>
        <w:tab w:val="center" w:pos="4153"/>
        <w:tab w:val="right" w:pos="8306"/>
      </w:tabs>
      <w:snapToGrid w:val="0"/>
      <w:jc w:val="left"/>
    </w:pPr>
    <w:rPr>
      <w:sz w:val="18"/>
      <w:szCs w:val="18"/>
    </w:rPr>
  </w:style>
  <w:style w:type="character" w:customStyle="1" w:styleId="Char0">
    <w:name w:val="页脚 Char"/>
    <w:basedOn w:val="a0"/>
    <w:link w:val="a6"/>
    <w:uiPriority w:val="99"/>
    <w:rsid w:val="00C83A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28</cp:revision>
  <cp:lastPrinted>2025-04-28T03:09:00Z</cp:lastPrinted>
  <dcterms:created xsi:type="dcterms:W3CDTF">2023-04-13T07:57:00Z</dcterms:created>
  <dcterms:modified xsi:type="dcterms:W3CDTF">2025-05-27T01:10:00Z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eyJoZGlkIjoiMTRhMWVlODdjMTY3YmRjY2UyNDRkNmQ2ZGVkM2E0M2EiLCJ1c2VySWQiOiIxMzE5NTMxNTA5In0=</vt:lpwstr>
  </property>
  <property fmtid="{D5CDD505-2E9C-101B-9397-08002B2CF9AE}" pid="3" name="KSOProductBuildVer">
    <vt:lpwstr>2052-12.1.0.20305</vt:lpwstr>
  </property>
  <property fmtid="{D5CDD505-2E9C-101B-9397-08002B2CF9AE}" pid="4" name="ICV">
    <vt:lpwstr>64D8D748F8E94B46A9ED35D83032B4E7_12</vt:lpwstr>
  </property>
</Properties>
</file>